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2A1B21">
      <w:pPr>
        <w:keepNext w:val="0"/>
        <w:keepLines w:val="0"/>
        <w:pageBreakBefore w:val="0"/>
        <w:widowControl w:val="0"/>
        <w:kinsoku/>
        <w:wordWrap/>
        <w:overflowPunct/>
        <w:topLinePunct w:val="0"/>
        <w:autoSpaceDE/>
        <w:autoSpaceDN/>
        <w:bidi w:val="0"/>
        <w:adjustRightInd/>
        <w:snapToGrid/>
        <w:spacing w:before="781" w:beforeLines="250" w:after="781" w:afterLines="250" w:line="560" w:lineRule="exact"/>
        <w:ind w:right="0"/>
        <w:jc w:val="left"/>
        <w:textAlignment w:val="auto"/>
        <w:rPr>
          <w:rFonts w:hint="eastAsia" w:ascii="方正小标宋简体" w:hAnsi="方正小标宋简体" w:eastAsia="方正小标宋简体" w:cs="方正小标宋简体"/>
          <w:b w:val="0"/>
          <w:bCs w:val="0"/>
          <w:sz w:val="32"/>
          <w:szCs w:val="32"/>
          <w:lang w:val="zh-CN" w:eastAsia="zh-CN"/>
        </w:rPr>
      </w:pPr>
      <w:r>
        <w:drawing>
          <wp:anchor distT="0" distB="0" distL="114300" distR="114300" simplePos="0" relativeHeight="251659264" behindDoc="0" locked="0" layoutInCell="1" allowOverlap="1">
            <wp:simplePos x="0" y="0"/>
            <wp:positionH relativeFrom="column">
              <wp:posOffset>-847725</wp:posOffset>
            </wp:positionH>
            <wp:positionV relativeFrom="page">
              <wp:posOffset>123825</wp:posOffset>
            </wp:positionV>
            <wp:extent cx="7256145" cy="10280650"/>
            <wp:effectExtent l="0" t="0" r="1905" b="635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
                    <a:stretch>
                      <a:fillRect/>
                    </a:stretch>
                  </pic:blipFill>
                  <pic:spPr>
                    <a:xfrm>
                      <a:off x="0" y="0"/>
                      <a:ext cx="7256145" cy="10280650"/>
                    </a:xfrm>
                    <a:prstGeom prst="rect">
                      <a:avLst/>
                    </a:prstGeom>
                    <a:noFill/>
                    <a:ln>
                      <a:noFill/>
                    </a:ln>
                  </pic:spPr>
                </pic:pic>
              </a:graphicData>
            </a:graphic>
          </wp:anchor>
        </w:drawing>
      </w:r>
    </w:p>
    <w:p w14:paraId="04E9047C">
      <w:pPr>
        <w:spacing w:line="240" w:lineRule="auto"/>
        <w:jc w:val="center"/>
        <w:outlineLvl w:val="0"/>
        <w:rPr>
          <w:rFonts w:hint="eastAsia" w:ascii="方正小标宋简体" w:hAnsi="方正小标宋简体" w:eastAsia="方正小标宋简体" w:cs="方正小标宋简体"/>
          <w:sz w:val="36"/>
          <w:szCs w:val="36"/>
          <w:lang w:val="en-US" w:eastAsia="zh-CN"/>
        </w:rPr>
        <w:sectPr>
          <w:pgSz w:w="11906" w:h="16838"/>
          <w:pgMar w:top="1871" w:right="1587" w:bottom="1701" w:left="1587" w:header="851" w:footer="992" w:gutter="0"/>
          <w:pgNumType w:fmt="decimal" w:start="1"/>
          <w:cols w:space="425" w:num="1"/>
          <w:docGrid w:type="lines" w:linePitch="312" w:charSpace="0"/>
        </w:sectPr>
      </w:pPr>
      <w:bookmarkStart w:id="0" w:name="_Toc27628"/>
    </w:p>
    <w:p w14:paraId="5C572BFA">
      <w:pPr>
        <w:spacing w:line="240" w:lineRule="auto"/>
        <w:jc w:val="center"/>
        <w:outlineLvl w:val="0"/>
        <w:rPr>
          <w:rFonts w:hint="eastAsia" w:ascii="方正小标宋简体" w:hAnsi="方正小标宋简体" w:eastAsia="方正小标宋简体" w:cs="方正小标宋简体"/>
          <w:sz w:val="36"/>
          <w:szCs w:val="36"/>
          <w:lang w:val="en-US" w:eastAsia="zh-CN"/>
        </w:rPr>
      </w:pPr>
      <w:r>
        <w:rPr>
          <w:rFonts w:hint="eastAsia" w:ascii="方正小标宋简体" w:hAnsi="方正小标宋简体" w:eastAsia="方正小标宋简体" w:cs="方正小标宋简体"/>
          <w:sz w:val="36"/>
          <w:szCs w:val="36"/>
          <w:lang w:val="en-US" w:eastAsia="zh-CN"/>
        </w:rPr>
        <w:t>邻水县冷链物流园及配套设施建设项目</w:t>
      </w:r>
    </w:p>
    <w:p w14:paraId="2780F767">
      <w:pPr>
        <w:spacing w:line="240" w:lineRule="auto"/>
        <w:jc w:val="center"/>
        <w:outlineLvl w:val="0"/>
        <w:rPr>
          <w:rFonts w:hint="eastAsia" w:ascii="方正小标宋简体" w:hAnsi="方正小标宋简体" w:eastAsia="方正小标宋简体" w:cs="方正小标宋简体"/>
          <w:sz w:val="36"/>
          <w:szCs w:val="36"/>
        </w:rPr>
      </w:pPr>
      <w:r>
        <w:rPr>
          <w:rFonts w:hint="eastAsia" w:ascii="方正小标宋简体" w:hAnsi="方正小标宋简体" w:eastAsia="方正小标宋简体" w:cs="方正小标宋简体"/>
          <w:sz w:val="36"/>
          <w:szCs w:val="36"/>
          <w:lang w:val="en-US" w:eastAsia="zh-CN"/>
        </w:rPr>
        <w:t>专项债券项目</w:t>
      </w:r>
      <w:r>
        <w:rPr>
          <w:rFonts w:hint="eastAsia" w:ascii="方正小标宋简体" w:hAnsi="方正小标宋简体" w:eastAsia="方正小标宋简体" w:cs="方正小标宋简体"/>
          <w:sz w:val="36"/>
          <w:szCs w:val="36"/>
          <w:lang w:eastAsia="zh-CN"/>
        </w:rPr>
        <w:t>情况</w:t>
      </w:r>
      <w:bookmarkEnd w:id="0"/>
    </w:p>
    <w:p w14:paraId="12749744">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pacing w:val="0"/>
          <w:sz w:val="32"/>
          <w:szCs w:val="32"/>
          <w:lang w:val="en-US" w:eastAsia="zh-CN"/>
        </w:rPr>
      </w:pPr>
      <w:bookmarkStart w:id="1" w:name="_Toc16499"/>
      <w:r>
        <w:rPr>
          <w:rFonts w:hint="eastAsia" w:ascii="黑体" w:hAnsi="黑体" w:eastAsia="黑体" w:cs="黑体"/>
          <w:b w:val="0"/>
          <w:bCs w:val="0"/>
          <w:spacing w:val="0"/>
          <w:sz w:val="32"/>
          <w:szCs w:val="32"/>
          <w:lang w:val="en-US" w:eastAsia="zh-CN"/>
        </w:rPr>
        <w:t>一、项目基本情况</w:t>
      </w:r>
      <w:bookmarkEnd w:id="1"/>
    </w:p>
    <w:p w14:paraId="6B0F660B">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2" w:name="_Toc4409"/>
      <w:r>
        <w:rPr>
          <w:rFonts w:hint="eastAsia" w:ascii="楷体" w:hAnsi="楷体" w:eastAsia="楷体" w:cs="楷体"/>
          <w:b w:val="0"/>
          <w:bCs/>
          <w:spacing w:val="0"/>
          <w:sz w:val="32"/>
          <w:szCs w:val="32"/>
        </w:rPr>
        <w:t>（一）市县及行业专项规划概况</w:t>
      </w:r>
      <w:bookmarkEnd w:id="2"/>
    </w:p>
    <w:p w14:paraId="3695CBB2">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rPr>
      </w:pPr>
      <w:bookmarkStart w:id="3" w:name="_Toc18887515"/>
      <w:bookmarkStart w:id="4" w:name="_Toc23877"/>
      <w:bookmarkStart w:id="5" w:name="_Toc12225"/>
      <w:bookmarkStart w:id="6" w:name="_Toc18886419"/>
      <w:bookmarkStart w:id="7" w:name="_Toc10706"/>
      <w:bookmarkStart w:id="8" w:name="_Toc15629927"/>
      <w:bookmarkStart w:id="9" w:name="_Toc2777"/>
      <w:bookmarkStart w:id="10" w:name="_Toc5272"/>
      <w:bookmarkStart w:id="11" w:name="_Toc16993"/>
      <w:bookmarkStart w:id="12" w:name="_Toc18413"/>
      <w:r>
        <w:rPr>
          <w:rFonts w:hint="eastAsia" w:ascii="仿宋" w:hAnsi="仿宋" w:eastAsia="仿宋" w:cs="仿宋"/>
          <w:spacing w:val="0"/>
          <w:sz w:val="28"/>
          <w:szCs w:val="28"/>
          <w:highlight w:val="none"/>
          <w:lang w:val="en-US" w:eastAsia="zh-CN"/>
        </w:rPr>
        <w:t>1.广安</w:t>
      </w:r>
      <w:r>
        <w:rPr>
          <w:rFonts w:hint="eastAsia" w:ascii="仿宋" w:hAnsi="仿宋" w:eastAsia="仿宋" w:cs="仿宋"/>
          <w:spacing w:val="0"/>
          <w:sz w:val="28"/>
          <w:szCs w:val="28"/>
          <w:highlight w:val="none"/>
        </w:rPr>
        <w:t>市规划概况</w:t>
      </w:r>
      <w:bookmarkEnd w:id="3"/>
      <w:bookmarkEnd w:id="4"/>
      <w:bookmarkEnd w:id="5"/>
      <w:bookmarkEnd w:id="6"/>
      <w:bookmarkEnd w:id="7"/>
      <w:bookmarkEnd w:id="8"/>
      <w:bookmarkEnd w:id="9"/>
      <w:bookmarkEnd w:id="10"/>
      <w:bookmarkEnd w:id="11"/>
      <w:bookmarkEnd w:id="12"/>
    </w:p>
    <w:p w14:paraId="083868B1">
      <w:pPr>
        <w:keepNext w:val="0"/>
        <w:keepLines w:val="0"/>
        <w:pageBreakBefore w:val="0"/>
        <w:widowControl w:val="0"/>
        <w:kinsoku/>
        <w:wordWrap/>
        <w:overflowPunct/>
        <w:topLinePunct w:val="0"/>
        <w:autoSpaceDE/>
        <w:autoSpaceDN/>
        <w:bidi w:val="0"/>
        <w:adjustRightInd w:val="0"/>
        <w:snapToGrid w:val="0"/>
        <w:spacing w:line="500" w:lineRule="exact"/>
        <w:ind w:left="0" w:right="0" w:firstLine="560" w:firstLineChars="200"/>
        <w:jc w:val="left"/>
        <w:textAlignment w:val="auto"/>
        <w:rPr>
          <w:rFonts w:hint="eastAsia" w:ascii="仿宋" w:hAnsi="仿宋" w:eastAsia="仿宋" w:cs="仿宋"/>
          <w:color w:val="000000"/>
          <w:spacing w:val="0"/>
          <w:kern w:val="0"/>
          <w:sz w:val="28"/>
          <w:szCs w:val="28"/>
          <w:highlight w:val="none"/>
          <w:lang w:val="en-US" w:eastAsia="zh-CN" w:bidi="ar"/>
        </w:rPr>
      </w:pPr>
      <w:bookmarkStart w:id="13" w:name="_Toc26814"/>
      <w:bookmarkStart w:id="14" w:name="_Toc10231"/>
      <w:bookmarkStart w:id="15" w:name="_Toc19566"/>
      <w:bookmarkStart w:id="16" w:name="_Toc26815"/>
      <w:r>
        <w:rPr>
          <w:rFonts w:hint="eastAsia" w:ascii="仿宋" w:hAnsi="仿宋" w:eastAsia="仿宋" w:cs="仿宋"/>
          <w:color w:val="000000"/>
          <w:spacing w:val="0"/>
          <w:kern w:val="0"/>
          <w:sz w:val="28"/>
          <w:szCs w:val="28"/>
          <w:highlight w:val="none"/>
          <w:lang w:val="en-US" w:eastAsia="zh-CN" w:bidi="ar"/>
        </w:rPr>
        <w:t>广安，四川省辖地级市，位于四川东部，地处中亚热带湿润季风气候区，四季分明，气候温暖，雨量充沛，物产丰富。境内嘉陵江、渠江曲折回环汇入长江，华蓥山、铜锣山、明月山平行分布于市境东部，幅员面积 6339 平方千米。 广安下辖广安区、前锋区、岳池县、武胜县、邻水县，代管华蓥市。根据第七次人口普查数据，截至 2020 年 11 月 1 日零时，广安市常住人口为3254883 人。</w:t>
      </w:r>
    </w:p>
    <w:p w14:paraId="17C769EB">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17" w:name="_Toc442"/>
      <w:r>
        <w:rPr>
          <w:rFonts w:hint="eastAsia" w:ascii="仿宋" w:hAnsi="仿宋" w:eastAsia="仿宋" w:cs="仿宋"/>
          <w:spacing w:val="0"/>
          <w:sz w:val="28"/>
          <w:szCs w:val="28"/>
          <w:highlight w:val="none"/>
          <w:lang w:val="en-US" w:eastAsia="zh-CN"/>
        </w:rPr>
        <w:t>2.邻水县规划概况</w:t>
      </w:r>
      <w:bookmarkEnd w:id="17"/>
    </w:p>
    <w:p w14:paraId="28924766">
      <w:pPr>
        <w:keepNext w:val="0"/>
        <w:keepLines w:val="0"/>
        <w:pageBreakBefore w:val="0"/>
        <w:widowControl w:val="0"/>
        <w:kinsoku/>
        <w:wordWrap/>
        <w:overflowPunct/>
        <w:topLinePunct w:val="0"/>
        <w:autoSpaceDE/>
        <w:autoSpaceDN/>
        <w:bidi w:val="0"/>
        <w:adjustRightInd w:val="0"/>
        <w:snapToGrid w:val="0"/>
        <w:spacing w:line="500" w:lineRule="exact"/>
        <w:ind w:left="0" w:right="0" w:firstLine="560" w:firstLineChars="200"/>
        <w:jc w:val="left"/>
        <w:textAlignment w:val="auto"/>
        <w:rPr>
          <w:rFonts w:hint="eastAsia" w:ascii="仿宋" w:hAnsi="仿宋" w:eastAsia="仿宋" w:cs="仿宋"/>
          <w:color w:val="000000"/>
          <w:spacing w:val="0"/>
          <w:kern w:val="0"/>
          <w:sz w:val="28"/>
          <w:szCs w:val="28"/>
          <w:highlight w:val="none"/>
          <w:lang w:val="en-US" w:eastAsia="zh-CN" w:bidi="ar"/>
        </w:rPr>
      </w:pPr>
      <w:r>
        <w:rPr>
          <w:rFonts w:hint="eastAsia" w:ascii="仿宋" w:hAnsi="仿宋" w:eastAsia="仿宋" w:cs="仿宋"/>
          <w:color w:val="000000"/>
          <w:spacing w:val="0"/>
          <w:kern w:val="0"/>
          <w:sz w:val="28"/>
          <w:szCs w:val="28"/>
          <w:highlight w:val="none"/>
          <w:lang w:val="en-US" w:eastAsia="zh-CN" w:bidi="ar"/>
        </w:rPr>
        <w:t>邻水县（Linshui County），古称邻州，隶属于四川省广安市，川陕渝鄂重要公路交通要道。邻水县也是四川省距离重庆主城区及两江新区最近的县城，东、南分别与垫江县、长寿区、渝北区接壤，西、北分别与华蓥市、前锋区、大竹县相连。辖区面积 1909 平方公里。根据第七次人口普查数据，截至 2020 年 11月 1 日零时，邻水县常住人口为 707537 人。</w:t>
      </w:r>
    </w:p>
    <w:bookmarkEnd w:id="13"/>
    <w:bookmarkEnd w:id="14"/>
    <w:bookmarkEnd w:id="15"/>
    <w:bookmarkEnd w:id="16"/>
    <w:p w14:paraId="2088138D">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zh-CN" w:eastAsia="zh-CN"/>
        </w:rPr>
      </w:pPr>
      <w:bookmarkStart w:id="18" w:name="_Toc8586"/>
      <w:bookmarkStart w:id="19" w:name="_Toc6062"/>
      <w:r>
        <w:rPr>
          <w:rFonts w:hint="eastAsia" w:ascii="仿宋" w:hAnsi="仿宋" w:eastAsia="仿宋" w:cs="仿宋"/>
          <w:spacing w:val="0"/>
          <w:sz w:val="28"/>
          <w:szCs w:val="28"/>
          <w:highlight w:val="none"/>
          <w:lang w:val="en-US" w:eastAsia="zh-CN"/>
        </w:rPr>
        <w:t>3.行业专项规划概况</w:t>
      </w:r>
      <w:bookmarkEnd w:id="18"/>
      <w:bookmarkEnd w:id="19"/>
    </w:p>
    <w:p w14:paraId="6F791C3D">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1.政策环境</w:t>
      </w:r>
    </w:p>
    <w:p w14:paraId="126B7E07">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现代物流是整合社会资源，降低物流成本，提高一个地区和企业竞争力的重要手段，现代物流业的发展水平已成为衡量一个国家和地区综合经济实力的重要标志。大力发展现代物流业对实现科学发展观，降低社会物流总费用，提高车辆、库房等设施的利用率，节约土地、燃料等资源都有重要的意义。</w:t>
      </w:r>
    </w:p>
    <w:p w14:paraId="6E8B9937">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2014年，国家发改委会同30多个部门研究编制了《物流业发展中长期发展规划（2014—2020年）》，报经国务院审议批准，国务院以国发[2014]42号文件印发实施。报经国务院批准同意，国家发改委印发了《促进物流业发展三年行动计划（2014—2016年）》。</w:t>
      </w:r>
    </w:p>
    <w:p w14:paraId="76194A49">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为了促进物流产业的发展，近年来，国家利用中央预算内投资支持重要节点物流项目建设，有力地改善了我国物流基础设施条件。2015年6月份，启动实施了现代物流重大投资工程包，重点加强多式联运工程、物流园区工程、农产品物流工程、制造业物流与供应链管理工程、资源型产品物流工程、城乡物流配送工程、电子商务物流工程、物流标准化工程、物流信息平台工程、应急物流工程等10大领域项目建设。同时，国家发改委等部门通过建立工作协调机制，着力解决制约物流业发展的体制机制障碍，为社会资本参与建设创造良好条件，引领社会资本重点投向与“一带一路”、京津冀协同发展、长江经济带、自贸区等国家战略相匹配的物流工程，重点提高沿带、沿路、沿江和京津冀区域内的物流基础设施水平，促进互联互通。</w:t>
      </w:r>
    </w:p>
    <w:p w14:paraId="217DE52C">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2.物流业发展情况</w:t>
      </w:r>
    </w:p>
    <w:p w14:paraId="1B432137">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近年来，我国物流业总体规模快速增长，物流费用成本呈下降趋势。2008年我国物流业实现增加值2万亿元，占GDP的6.6%，同比增长15.4%，而社会物流总费用占GDP的比重为18.1%，同比下降0.1%。2011年中国全国社会物流总费用8.4万亿元，同比增长18.5%；全国社会物流总额158.4万亿元，同比增长12.3%；2011年中国社会物流总费用与GDP的比率为17.8%。</w:t>
      </w:r>
    </w:p>
    <w:p w14:paraId="71C27C8F">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国家发改委、统计局、中国物流与采购联合会发布的2015年全国物流运行情况通报显示，2015年全国社会物流总额219.2万亿元，按可比价格计算，比上年增长5.8%，增速回落2.1个百分点；其中：农产品物流总额3.5万亿元，增长3.9%，回落0.2个百分点。2015年社会物流总费用与GDP的比率为16.0%，比上年下降0.6个百分点。可以看出，社会经济运行的物流成本仍然较高（发达国家社会物流总费用与GDP的比率一般为10%），现代物流需要进一步发展。</w:t>
      </w:r>
    </w:p>
    <w:p w14:paraId="15F11C19">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3.四川省物流业和农产品冷链物流的发展规划</w:t>
      </w:r>
    </w:p>
    <w:p w14:paraId="02710F31">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四川省“十三五”发展规划》提出“强化成都的核心地位，大力发展沿江、川北、川东北、攀西和川中物流增长极，夯实物流基础，培育物流市场，降低物流成本，提升物流专业化、信息化、标准化和国际化水平”，“培育壮大川东北经济区，加快发展现代农业，建设一批粮油、畜禽、茶叶、水果、丝麻、中药材等特色优质农产品生产和深加工基地”。</w:t>
      </w:r>
    </w:p>
    <w:p w14:paraId="37A5FF6C">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四川省物流业发展中长期规划 （2015—2020年）提出“到2020年，将我省建设成为西部物流中心和连接丝绸之路经济带、长江经济带的物流枢纽”，“物流业增加值年均增长 8.5% 左右”，“在重要物流节点建设一批具有集中采购和跨区域配送能力的大型鲜活农产品低温配送和处理中心，构建辐射周边地区的农产品冷链物流服务体系。支持冷库设施设备更新改造，鼓励建设节能型冷库”，“以成都经济区为核心层，布局建设大型冷链物流仓储配送中心，在攀西、川南、川东北的二、三级物流节点城市建设大中型冷链物流配送基地，形成北向成德绵广，东向成内、成遂南广（安）达，南向成内自宜（泸），西向成雅甘阿的冷链物流发展带”。</w:t>
      </w:r>
    </w:p>
    <w:p w14:paraId="6D89E95E">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2016年6月，四川省发改委、省邮政管理局等11个部门联合印发《四川省加强物流短板建设促进有效投资和居民消费的实施方案》，提升全省物流快递业整体发展和服务水平。《方案》提出，要补齐农产品物流短板，编制《四川省“十三五”农产品冷链物流发展规划》，支持集预冷、加工、冷藏、配送、追溯等功能于一体的农产品产地集配中心建设。</w:t>
      </w:r>
    </w:p>
    <w:p w14:paraId="5012190B">
      <w:pPr>
        <w:keepNext w:val="0"/>
        <w:keepLines w:val="0"/>
        <w:pageBreakBefore w:val="0"/>
        <w:widowControl w:val="0"/>
        <w:kinsoku/>
        <w:wordWrap/>
        <w:overflowPunct/>
        <w:topLinePunct w:val="0"/>
        <w:autoSpaceDE w:val="0"/>
        <w:autoSpaceDN w:val="0"/>
        <w:bidi w:val="0"/>
        <w:adjustRightInd w:val="0"/>
        <w:snapToGrid w:val="0"/>
        <w:spacing w:line="500" w:lineRule="exact"/>
        <w:ind w:left="0" w:right="0" w:firstLine="560" w:firstLineChars="200"/>
        <w:jc w:val="left"/>
        <w:textAlignment w:val="auto"/>
        <w:rPr>
          <w:rFonts w:hint="eastAsia" w:ascii="仿宋" w:hAnsi="仿宋" w:eastAsia="仿宋" w:cs="仿宋"/>
          <w:spacing w:val="0"/>
          <w:sz w:val="28"/>
          <w:szCs w:val="28"/>
          <w:lang w:val="zh-CN" w:eastAsia="zh-CN" w:bidi="zh-CN"/>
        </w:rPr>
      </w:pPr>
      <w:r>
        <w:rPr>
          <w:rFonts w:hint="eastAsia" w:ascii="仿宋" w:hAnsi="仿宋" w:eastAsia="仿宋" w:cs="仿宋"/>
          <w:spacing w:val="0"/>
          <w:sz w:val="28"/>
          <w:szCs w:val="28"/>
          <w:lang w:val="zh-CN" w:eastAsia="zh-CN" w:bidi="zh-CN"/>
        </w:rPr>
        <w:t>综上所述，本项目的建设符合省市县及行业专项规划。</w:t>
      </w:r>
    </w:p>
    <w:p w14:paraId="7B44C482">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20" w:name="_Toc28546"/>
      <w:r>
        <w:rPr>
          <w:rFonts w:hint="eastAsia" w:ascii="楷体" w:hAnsi="楷体" w:eastAsia="楷体" w:cs="楷体"/>
          <w:b w:val="0"/>
          <w:bCs/>
          <w:spacing w:val="0"/>
          <w:sz w:val="32"/>
          <w:szCs w:val="32"/>
        </w:rPr>
        <w:t>（二）项目情况</w:t>
      </w:r>
      <w:bookmarkEnd w:id="20"/>
    </w:p>
    <w:p w14:paraId="355882A5">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21" w:name="_Toc30181"/>
      <w:r>
        <w:rPr>
          <w:rFonts w:hint="eastAsia" w:ascii="仿宋" w:hAnsi="仿宋" w:eastAsia="仿宋" w:cs="仿宋"/>
          <w:spacing w:val="0"/>
          <w:sz w:val="28"/>
          <w:szCs w:val="28"/>
          <w:highlight w:val="none"/>
          <w:lang w:val="en-US" w:eastAsia="zh-CN"/>
        </w:rPr>
        <w:t>1.参与主体</w:t>
      </w:r>
      <w:bookmarkEnd w:id="21"/>
    </w:p>
    <w:p w14:paraId="25EAC515">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b w:val="0"/>
          <w:bCs/>
          <w:spacing w:val="0"/>
          <w:sz w:val="28"/>
          <w:szCs w:val="28"/>
          <w:lang w:val="en-US" w:eastAsia="zh-CN"/>
        </w:rPr>
      </w:pPr>
      <w:r>
        <w:rPr>
          <w:rFonts w:hint="eastAsia" w:ascii="仿宋" w:hAnsi="仿宋" w:eastAsia="仿宋" w:cs="仿宋"/>
          <w:spacing w:val="0"/>
          <w:sz w:val="28"/>
          <w:szCs w:val="28"/>
          <w:highlight w:val="none"/>
          <w:lang w:val="en-US" w:eastAsia="zh-CN"/>
        </w:rPr>
        <w:t>实施机构：</w:t>
      </w:r>
      <w:r>
        <w:rPr>
          <w:rFonts w:hint="eastAsia" w:ascii="仿宋" w:hAnsi="仿宋" w:eastAsia="仿宋" w:cs="仿宋"/>
          <w:b w:val="0"/>
          <w:bCs/>
          <w:spacing w:val="0"/>
          <w:sz w:val="28"/>
          <w:szCs w:val="28"/>
          <w:lang w:val="en-US" w:eastAsia="zh-CN"/>
        </w:rPr>
        <w:t>邻水县商务局</w:t>
      </w:r>
    </w:p>
    <w:p w14:paraId="2C86A0F9">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项目业主：邻水县强农建筑工程</w:t>
      </w:r>
      <w:r>
        <w:rPr>
          <w:rFonts w:hint="eastAsia" w:ascii="仿宋" w:hAnsi="仿宋" w:eastAsia="仿宋" w:cs="仿宋"/>
          <w:b w:val="0"/>
          <w:bCs/>
          <w:spacing w:val="0"/>
          <w:sz w:val="28"/>
          <w:szCs w:val="28"/>
          <w:lang w:val="en-US" w:eastAsia="zh-CN"/>
        </w:rPr>
        <w:t>有限公司</w:t>
      </w:r>
    </w:p>
    <w:p w14:paraId="02FD2DF4">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22" w:name="_Toc4088"/>
      <w:r>
        <w:rPr>
          <w:rFonts w:hint="eastAsia" w:ascii="仿宋" w:hAnsi="仿宋" w:eastAsia="仿宋" w:cs="仿宋"/>
          <w:spacing w:val="0"/>
          <w:sz w:val="28"/>
          <w:szCs w:val="28"/>
          <w:highlight w:val="none"/>
          <w:lang w:val="en-US" w:eastAsia="zh-CN"/>
        </w:rPr>
        <w:t>2.项目概况</w:t>
      </w:r>
      <w:bookmarkEnd w:id="22"/>
    </w:p>
    <w:p w14:paraId="5A26246A">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（1）项目名称：邻水县冷链物流园及配套设施建设项目</w:t>
      </w:r>
    </w:p>
    <w:p w14:paraId="2B5099E1">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（2）项目建设性质：新建</w:t>
      </w:r>
    </w:p>
    <w:p w14:paraId="203EE581">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（3）项目总投资：</w:t>
      </w:r>
      <w:r>
        <w:rPr>
          <w:rFonts w:hint="eastAsia" w:ascii="仿宋" w:hAnsi="仿宋" w:eastAsia="仿宋" w:cs="仿宋"/>
          <w:spacing w:val="0"/>
          <w:sz w:val="28"/>
          <w:szCs w:val="28"/>
          <w:lang w:val="en-US" w:eastAsia="zh-CN"/>
        </w:rPr>
        <w:t>61000</w:t>
      </w:r>
      <w:r>
        <w:rPr>
          <w:rFonts w:hint="eastAsia" w:ascii="仿宋" w:hAnsi="仿宋" w:eastAsia="仿宋" w:cs="仿宋"/>
          <w:spacing w:val="0"/>
          <w:sz w:val="28"/>
          <w:szCs w:val="28"/>
          <w:highlight w:val="none"/>
          <w:lang w:val="en-US" w:eastAsia="zh-CN"/>
        </w:rPr>
        <w:t>万元</w:t>
      </w:r>
    </w:p>
    <w:p w14:paraId="70266638">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（4）项目建设期： 36个月</w:t>
      </w:r>
    </w:p>
    <w:p w14:paraId="0DDFE34B">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（5）计划开工时间： 2022年10月</w:t>
      </w:r>
    </w:p>
    <w:p w14:paraId="21C3D154">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（6）项目建设内容与规模：</w:t>
      </w:r>
    </w:p>
    <w:p w14:paraId="5B01D62A">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color w:val="auto"/>
          <w:spacing w:val="0"/>
          <w:sz w:val="28"/>
          <w:szCs w:val="28"/>
          <w:highlight w:val="none"/>
          <w:lang w:val="en-US" w:eastAsia="zh-CN"/>
        </w:rPr>
      </w:pPr>
      <w:r>
        <w:rPr>
          <w:rFonts w:hint="eastAsia" w:ascii="仿宋" w:hAnsi="仿宋" w:eastAsia="仿宋" w:cs="仿宋"/>
          <w:color w:val="auto"/>
          <w:spacing w:val="0"/>
          <w:sz w:val="28"/>
          <w:szCs w:val="28"/>
          <w:highlight w:val="none"/>
          <w:lang w:val="en-US" w:eastAsia="zh-CN"/>
        </w:rPr>
        <w:t>项目用地约100亩，建设节能型通风贮藏库约5000平方米，节能型机械冷库（高温库）约20000平方米，节能型气调贮藏库约10000平方米，冻库约15000平方米，配送中心约5000平方米，配套冷链物流设备购置、智能化系统、园区道路及停车场等附属设施建设（配套建设水果、蔬菜、农产品、干鲜、冻品批发市场及相关配套设施设备和物流设施）。</w:t>
      </w:r>
    </w:p>
    <w:p w14:paraId="59910266">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pacing w:val="0"/>
          <w:sz w:val="32"/>
          <w:szCs w:val="32"/>
          <w:lang w:val="en-US" w:eastAsia="zh-CN"/>
        </w:rPr>
      </w:pPr>
      <w:bookmarkStart w:id="23" w:name="_Toc9404"/>
      <w:r>
        <w:rPr>
          <w:rFonts w:hint="eastAsia" w:ascii="黑体" w:hAnsi="黑体" w:eastAsia="黑体" w:cs="黑体"/>
          <w:b w:val="0"/>
          <w:bCs w:val="0"/>
          <w:spacing w:val="0"/>
          <w:sz w:val="32"/>
          <w:szCs w:val="32"/>
          <w:lang w:val="en-US" w:eastAsia="zh-CN"/>
        </w:rPr>
        <w:t>二、经济社会效益分析</w:t>
      </w:r>
      <w:bookmarkEnd w:id="23"/>
      <w:bookmarkStart w:id="24" w:name="_Toc28567"/>
      <w:bookmarkStart w:id="25" w:name="_Toc31769"/>
      <w:bookmarkStart w:id="26" w:name="_Toc12190"/>
      <w:bookmarkStart w:id="27" w:name="_Toc25531"/>
      <w:bookmarkStart w:id="28" w:name="_Toc32167"/>
      <w:bookmarkStart w:id="29" w:name="_Toc23802"/>
      <w:bookmarkStart w:id="30" w:name="_Toc18168"/>
      <w:bookmarkStart w:id="31" w:name="_Toc21027"/>
      <w:bookmarkStart w:id="32" w:name="_Toc26165"/>
      <w:bookmarkStart w:id="33" w:name="_Toc3567"/>
      <w:bookmarkStart w:id="34" w:name="_Toc1844"/>
      <w:bookmarkStart w:id="35" w:name="_Toc8719"/>
      <w:bookmarkStart w:id="36" w:name="_Toc15715"/>
      <w:bookmarkStart w:id="37" w:name="_Toc121"/>
      <w:bookmarkStart w:id="38" w:name="_Toc11024"/>
      <w:bookmarkStart w:id="39" w:name="_Toc25492"/>
      <w:bookmarkStart w:id="40" w:name="_Toc29061"/>
      <w:bookmarkStart w:id="41" w:name="_Toc30130"/>
      <w:bookmarkStart w:id="42" w:name="_Toc19956"/>
      <w:bookmarkStart w:id="43" w:name="_Toc16109"/>
      <w:bookmarkStart w:id="44" w:name="_Toc20261"/>
      <w:bookmarkStart w:id="45" w:name="_Toc25667"/>
    </w:p>
    <w:p w14:paraId="56CFCC5B">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1.经济效益</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Start w:id="46" w:name="_Toc11974"/>
      <w:bookmarkStart w:id="47" w:name="_Toc29081"/>
      <w:bookmarkStart w:id="48" w:name="_Toc23472"/>
      <w:bookmarkStart w:id="49" w:name="_Toc15194"/>
      <w:bookmarkStart w:id="50" w:name="_Toc5923"/>
      <w:bookmarkStart w:id="51" w:name="_Toc16246"/>
      <w:bookmarkStart w:id="52" w:name="_Toc3352"/>
      <w:bookmarkStart w:id="53" w:name="_Toc6031"/>
      <w:bookmarkStart w:id="54" w:name="_Toc14870"/>
      <w:bookmarkStart w:id="55" w:name="_Toc26821"/>
      <w:bookmarkStart w:id="56" w:name="_Toc20947"/>
      <w:bookmarkStart w:id="57" w:name="_Toc8916"/>
      <w:bookmarkStart w:id="58" w:name="_Toc5318"/>
      <w:bookmarkStart w:id="59" w:name="_Toc9906"/>
      <w:bookmarkStart w:id="60" w:name="_Toc15624"/>
      <w:bookmarkStart w:id="61" w:name="_Toc2297"/>
      <w:bookmarkStart w:id="62" w:name="_Toc14102"/>
      <w:bookmarkStart w:id="63" w:name="_Toc29350"/>
      <w:bookmarkStart w:id="64" w:name="_Toc5203"/>
      <w:bookmarkStart w:id="65" w:name="_Toc5331"/>
      <w:bookmarkStart w:id="66" w:name="_Toc23439"/>
      <w:bookmarkStart w:id="67" w:name="_Toc23263"/>
      <w:bookmarkStart w:id="68" w:name="_Toc21475"/>
      <w:bookmarkStart w:id="69" w:name="_Toc23539"/>
      <w:bookmarkStart w:id="70" w:name="_Toc27787"/>
      <w:bookmarkStart w:id="71" w:name="_Toc28903"/>
      <w:bookmarkStart w:id="72" w:name="_Toc18853"/>
      <w:bookmarkStart w:id="73" w:name="_Toc9905"/>
      <w:bookmarkStart w:id="74" w:name="_Toc26705"/>
    </w:p>
    <w:p w14:paraId="010A4B71">
      <w:pPr>
        <w:keepNext w:val="0"/>
        <w:keepLines w:val="0"/>
        <w:pageBreakBefore w:val="0"/>
        <w:widowControl w:val="0"/>
        <w:kinsoku/>
        <w:wordWrap/>
        <w:overflowPunct/>
        <w:topLinePunct w:val="0"/>
        <w:autoSpaceDE/>
        <w:autoSpaceDN/>
        <w:bidi w:val="0"/>
        <w:adjustRightInd w:val="0"/>
        <w:snapToGrid w:val="0"/>
        <w:spacing w:line="500" w:lineRule="exact"/>
        <w:ind w:left="0" w:right="0" w:firstLine="560" w:firstLineChars="200"/>
        <w:jc w:val="left"/>
        <w:textAlignment w:val="auto"/>
        <w:rPr>
          <w:rFonts w:hint="eastAsia" w:ascii="仿宋" w:hAnsi="仿宋" w:eastAsia="仿宋" w:cs="仿宋"/>
          <w:spacing w:val="0"/>
          <w:kern w:val="0"/>
          <w:sz w:val="28"/>
          <w:szCs w:val="28"/>
          <w:lang w:val="zh-CN" w:eastAsia="zh-CN"/>
        </w:rPr>
      </w:pPr>
      <w:r>
        <w:rPr>
          <w:rFonts w:hint="eastAsia" w:ascii="仿宋" w:hAnsi="仿宋" w:eastAsia="仿宋" w:cs="仿宋"/>
          <w:spacing w:val="0"/>
          <w:kern w:val="0"/>
          <w:sz w:val="28"/>
          <w:szCs w:val="28"/>
          <w:lang w:val="zh-CN" w:eastAsia="zh-CN"/>
        </w:rPr>
        <w:t>农业产业化是以农产品市场为导向，以经济效益为中心，以科技为支撑，按市场经济规律和社会化大生产的要求，通过龙头企业的组织协调，把分散种植的农户与千变万化的大市场衔接起来，进行必要的专业分工和生产要素重组，实现资金、技术、人才和资源等生产要素的优化配置，促成产业的布局区域化、生产专业化、产品标准化、经营一体化和产业市场化。本项目根据市场对鲜活农产品的需求，建设一个具有一定规模的冷链物流区，企业利用自身的优势对农户生产的蔬菜、水果和畜产品进行统一加工、储藏运输、销售，使资源得到优化配置，实现产业的布局区域化、生产专业化、产品标准化、经营一体化和产业市场化，有力地推进农业产业化进程。</w:t>
      </w:r>
    </w:p>
    <w:p w14:paraId="5B192718">
      <w:pPr>
        <w:keepNext w:val="0"/>
        <w:keepLines w:val="0"/>
        <w:pageBreakBefore w:val="0"/>
        <w:widowControl w:val="0"/>
        <w:kinsoku/>
        <w:wordWrap/>
        <w:overflowPunct/>
        <w:topLinePunct w:val="0"/>
        <w:autoSpaceDE/>
        <w:autoSpaceDN/>
        <w:bidi w:val="0"/>
        <w:adjustRightInd w:val="0"/>
        <w:snapToGrid w:val="0"/>
        <w:spacing w:line="500" w:lineRule="exact"/>
        <w:ind w:left="0" w:right="0" w:firstLine="560" w:firstLineChars="200"/>
        <w:jc w:val="left"/>
        <w:textAlignment w:val="auto"/>
        <w:rPr>
          <w:rFonts w:hint="eastAsia" w:ascii="仿宋" w:hAnsi="仿宋" w:eastAsia="仿宋" w:cs="仿宋"/>
          <w:spacing w:val="0"/>
          <w:kern w:val="0"/>
          <w:sz w:val="28"/>
          <w:szCs w:val="28"/>
          <w:lang w:val="zh-CN" w:eastAsia="zh-CN"/>
        </w:rPr>
      </w:pPr>
      <w:r>
        <w:rPr>
          <w:rFonts w:hint="eastAsia" w:ascii="仿宋" w:hAnsi="仿宋" w:eastAsia="仿宋" w:cs="仿宋"/>
          <w:spacing w:val="0"/>
          <w:kern w:val="0"/>
          <w:sz w:val="28"/>
          <w:szCs w:val="28"/>
          <w:lang w:val="zh-CN" w:eastAsia="zh-CN"/>
        </w:rPr>
        <w:t>由于目前农产品冷链物流技术落后，流通损耗率高，每年有价值过亿元的农产品在流通过程中损失掉，影响农民增收。项目发展冷链物流一方面有利于降低农产品损耗，直接提高农民收入；另一方面有利于提高农产品流通的产业化程度、组织化程度、信息化程度、标准化程度等，有利于解决目前我国农产品“小生产与大市场” 的对接问题，引导农民科学生产、稳定供给，大大提高农民收入水平。</w:t>
      </w:r>
      <w:bookmarkEnd w:id="46"/>
      <w:bookmarkEnd w:id="47"/>
      <w:bookmarkEnd w:id="48"/>
      <w:bookmarkEnd w:id="49"/>
    </w:p>
    <w:p w14:paraId="1B3E22AA">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75" w:name="_Toc10242"/>
      <w:r>
        <w:rPr>
          <w:rFonts w:hint="eastAsia" w:ascii="仿宋" w:hAnsi="仿宋" w:eastAsia="仿宋" w:cs="仿宋"/>
          <w:spacing w:val="0"/>
          <w:sz w:val="28"/>
          <w:szCs w:val="28"/>
          <w:highlight w:val="none"/>
          <w:lang w:val="en-US" w:eastAsia="zh-CN"/>
        </w:rPr>
        <w:t>2.社会效益</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294216C8">
      <w:pPr>
        <w:keepNext w:val="0"/>
        <w:keepLines w:val="0"/>
        <w:pageBreakBefore w:val="0"/>
        <w:widowControl w:val="0"/>
        <w:kinsoku/>
        <w:wordWrap/>
        <w:overflowPunct/>
        <w:topLinePunct w:val="0"/>
        <w:autoSpaceDE/>
        <w:autoSpaceDN/>
        <w:bidi w:val="0"/>
        <w:adjustRightInd w:val="0"/>
        <w:snapToGrid w:val="0"/>
        <w:spacing w:line="500" w:lineRule="exact"/>
        <w:ind w:left="0" w:right="0" w:firstLine="560" w:firstLineChars="200"/>
        <w:jc w:val="left"/>
        <w:textAlignment w:val="auto"/>
        <w:rPr>
          <w:rFonts w:hint="eastAsia" w:ascii="仿宋" w:hAnsi="仿宋" w:eastAsia="仿宋" w:cs="仿宋"/>
          <w:spacing w:val="0"/>
          <w:kern w:val="0"/>
          <w:sz w:val="28"/>
          <w:szCs w:val="28"/>
          <w:lang w:val="zh-CN" w:eastAsia="zh-CN"/>
        </w:rPr>
      </w:pPr>
      <w:bookmarkStart w:id="76" w:name="_Toc17633"/>
      <w:bookmarkStart w:id="77" w:name="_Toc11764"/>
      <w:bookmarkStart w:id="78" w:name="_Toc14970"/>
      <w:bookmarkStart w:id="79" w:name="_Toc25850"/>
      <w:bookmarkStart w:id="80" w:name="_Toc10050"/>
      <w:bookmarkStart w:id="81" w:name="_Toc14588"/>
      <w:bookmarkStart w:id="82" w:name="_Toc28223"/>
      <w:bookmarkStart w:id="83" w:name="_Toc5900"/>
      <w:bookmarkStart w:id="84" w:name="_Toc2775"/>
      <w:bookmarkStart w:id="85" w:name="_Toc14806"/>
      <w:bookmarkStart w:id="86" w:name="_Toc14073"/>
      <w:bookmarkStart w:id="87" w:name="_Toc1908"/>
      <w:bookmarkStart w:id="88" w:name="_Toc6766"/>
      <w:bookmarkStart w:id="89" w:name="_Toc26567"/>
      <w:bookmarkStart w:id="90" w:name="_Toc9860"/>
      <w:bookmarkStart w:id="91" w:name="_Toc5372"/>
      <w:bookmarkStart w:id="92" w:name="_Toc18085"/>
      <w:bookmarkStart w:id="93" w:name="_Toc28678"/>
      <w:bookmarkStart w:id="94" w:name="_Toc21344"/>
      <w:r>
        <w:rPr>
          <w:rFonts w:hint="eastAsia" w:ascii="仿宋" w:hAnsi="仿宋" w:eastAsia="仿宋" w:cs="仿宋"/>
          <w:spacing w:val="0"/>
          <w:kern w:val="0"/>
          <w:sz w:val="28"/>
          <w:szCs w:val="28"/>
          <w:lang w:val="zh-CN" w:eastAsia="zh-CN"/>
        </w:rPr>
        <w:t>项目建成后，将极大地完善邻水县农产品物流体系，加强农业交流合作，有力地推动邻水县建设成为区域性农产品物流基地，促进邻水县农产品市场健康稳定地发展，推动当地产业调整升级，提升邻水县农产品冷链仓储贸易服务水平，大大激发区域经济活力，同时能够增加当地就业，有效提高当地群众的收入水平，具有较好的社会效益。</w:t>
      </w:r>
    </w:p>
    <w:p w14:paraId="20C51518">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95" w:name="_Toc5584"/>
      <w:r>
        <w:rPr>
          <w:rFonts w:hint="eastAsia" w:ascii="仿宋" w:hAnsi="仿宋" w:eastAsia="仿宋" w:cs="仿宋"/>
          <w:spacing w:val="0"/>
          <w:sz w:val="28"/>
          <w:szCs w:val="28"/>
          <w:highlight w:val="none"/>
          <w:lang w:val="en-US" w:eastAsia="zh-CN"/>
        </w:rPr>
        <w:t>3.项目公益性论证</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3E948EFA">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96" w:name="_Toc9708"/>
      <w:bookmarkStart w:id="97" w:name="_Toc14380"/>
      <w:bookmarkStart w:id="98" w:name="_Toc21297"/>
      <w:bookmarkStart w:id="99" w:name="_Toc8245"/>
      <w:bookmarkStart w:id="100" w:name="_Toc4947"/>
      <w:r>
        <w:rPr>
          <w:rFonts w:hint="eastAsia" w:ascii="仿宋" w:hAnsi="仿宋" w:eastAsia="仿宋" w:cs="仿宋"/>
          <w:spacing w:val="0"/>
          <w:sz w:val="28"/>
          <w:szCs w:val="28"/>
          <w:highlight w:val="none"/>
          <w:lang w:val="en-US" w:eastAsia="zh-CN"/>
        </w:rPr>
        <w:t>1.项目是落实各级相关政策的需要</w:t>
      </w:r>
      <w:bookmarkEnd w:id="96"/>
      <w:bookmarkEnd w:id="97"/>
      <w:bookmarkEnd w:id="98"/>
      <w:bookmarkEnd w:id="99"/>
      <w:bookmarkEnd w:id="100"/>
    </w:p>
    <w:p w14:paraId="1491FA3C">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CN"/>
        </w:rPr>
        <w:t>2021年</w:t>
      </w:r>
      <w:r>
        <w:rPr>
          <w:rFonts w:hint="eastAsia" w:ascii="仿宋" w:hAnsi="仿宋" w:eastAsia="仿宋" w:cs="仿宋"/>
          <w:spacing w:val="0"/>
          <w:sz w:val="28"/>
          <w:szCs w:val="28"/>
          <w:highlight w:val="none"/>
          <w:lang w:val="en-US" w:eastAsia="zh-Hans"/>
        </w:rPr>
        <w:t>12月12日，国务院办公厅发布《“十四五”冷链物流发展规划》。规划提出了冷链物流2025年和2035年的分阶段发展目标。要形成内外联通的“四横四纵”国家冷链物流骨干通道网络。鼓励冷链物流企业通过兼并重组、战略合作等方式优化整合资源，拓展服务网络，培育龙头冷链物流企业，提升市场集中度。拓展冷链物流企业投融资渠道，鼓励银行业金融机构等对符合条件的冷链物流企业加大融资支持力度，完善配套金融服务。</w:t>
      </w:r>
    </w:p>
    <w:p w14:paraId="076BEE1E">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Hans"/>
        </w:rPr>
        <w:t>规划强调“十四五”冷链物流发展的基本原则为，市场驱动，政府引导，统筹推进，分类指导，创新引领，提质增效，区域协同，联动融合，绿色智慧，安全可靠。根据规划，到2025年，要初步形成衔接产地销地、覆盖城市乡村、联通国内国际的冷链物流网络，基本建成符合我国国情和产业结构特点、适应经济社会发展需要的冷链物流体系，调节农产品(6.270, -0.03, -0.48%)跨季节供需、支撑冷链产品跨区域流通的能力和效率显著提高，对国民经济和社会发展的支撑保障作用显著增强。展望2035年，要全面建成现代冷链物流体系，设施网络、技术装备、服务质量达到世界先进水平。</w:t>
      </w:r>
    </w:p>
    <w:p w14:paraId="1A02283E">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Hans"/>
        </w:rPr>
        <w:t>规划明确，构建现代冷链物流体系总体布局包括五个方面。一是打造“321”冷链物流运行体系，“三级节点、两大系统、一体化网络”融合联动。二是构建冷链物流骨干通道。结合我国冷链产品流通和进出口主方向，串接京津冀、长三角、珠三角、成渝、长江中游等城市群与西北、西南、东南沿海、中部、华东、华北、东北等农产品主产区，建设北部、鲁陕藏、长江、南部等“四横”冷链物流大通道，以及西部、二广、京鄂闽、东部沿海等“四纵”冷链物流大通道，形成内外联通的“四横四纵”国家冷链物流骨干通道网络。三是健全冷链物流服务体系，聚焦“6+1”重点品类，即：肉类、水果、蔬菜、水产品、乳品、速冻食品等主要生鲜食品以及疫苗等医药产品，分类优化冷链服务流程与规范。四是完善冷链物流监管体系，加快建设全国性冷链物流追溯监管平台。五是强化冷链物流支撑体系，推动第三方冷链物流企业专业化发展、规模化经营和数字化转型，着力培育具有较强国际竞争力的龙头企业。</w:t>
      </w:r>
    </w:p>
    <w:p w14:paraId="6CC33A76">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Hans"/>
        </w:rPr>
        <w:t>规划单独对夯实农产品产地冷链物流基础进行部署。规划明确，要完善产地冷链物流设施布局，完善冷链源头基点网络，建设产地冷链集配中心。</w:t>
      </w:r>
    </w:p>
    <w:p w14:paraId="3D94D17D">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Hans"/>
        </w:rPr>
        <w:t>构建产地冷链物流服务网络，优化农产品田头集货组织，提高农产品出村进城效率。创新产地冷链物流组织模式，促进农产品产地直供发展，助力打造产地农产品品牌。</w:t>
      </w:r>
    </w:p>
    <w:p w14:paraId="627CF165">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Hans"/>
        </w:rPr>
      </w:pPr>
      <w:r>
        <w:rPr>
          <w:rFonts w:hint="eastAsia" w:ascii="仿宋" w:hAnsi="仿宋" w:eastAsia="仿宋" w:cs="仿宋"/>
          <w:spacing w:val="0"/>
          <w:sz w:val="28"/>
          <w:szCs w:val="28"/>
          <w:highlight w:val="none"/>
          <w:lang w:val="en-US" w:eastAsia="zh-Hans"/>
        </w:rPr>
        <w:t>规划提出的实施保障措施中，通过现有资金支持渠道，加强国家骨干冷链物流基地、产销冷链集配中心等大型冷链物流设施建设。物流企业冷库仓储用地符合条件的，按规定享受城镇土地使用税优惠政策。拓展冷链物流企业投融资渠道，鼓励银行业金融机构等对符合条件的冷链物流企业加大融资支持力度，完善配套金融服务。</w:t>
      </w:r>
    </w:p>
    <w:p w14:paraId="0E007428">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四川省“十二五”农产品冷链物流发展规划》经过5年的努力，到2015年我省农产品冷链物流的发展，冷链物流比例大幅提高。肉类和水产品冷链物流水平显著提高，果蔬冷链物流加快发展。果蔬、肉类、水产品冷链物流流通率分别提高到18%、30%、30%以上，冷藏运输率分别提高到25%、50%、60%左右”。《四川省“十四五”国民经济发展计划纲要》又再次强调了发展冷链物流的重要性和加快发展的必要性。</w:t>
      </w:r>
    </w:p>
    <w:p w14:paraId="2847DB5B">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本项目建设是全面落实各级政府惠农政策的具体举措，项目建设得到邻水县委、县政府的大力支持，项目建成后也将给涉及区域内居民生活提供极大便利。</w:t>
      </w:r>
    </w:p>
    <w:p w14:paraId="5413A635">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101" w:name="_Toc13141"/>
      <w:bookmarkStart w:id="102" w:name="_Toc1113"/>
      <w:bookmarkStart w:id="103" w:name="_Toc31985"/>
      <w:bookmarkStart w:id="104" w:name="_Toc4807"/>
      <w:bookmarkStart w:id="105" w:name="_Toc336"/>
      <w:r>
        <w:rPr>
          <w:rFonts w:hint="eastAsia" w:ascii="仿宋" w:hAnsi="仿宋" w:eastAsia="仿宋" w:cs="仿宋"/>
          <w:spacing w:val="0"/>
          <w:sz w:val="28"/>
          <w:szCs w:val="28"/>
          <w:highlight w:val="none"/>
          <w:lang w:val="en-US" w:eastAsia="zh-CN"/>
        </w:rPr>
        <w:t>2.项目是适应农产品大规模流通的需要</w:t>
      </w:r>
      <w:bookmarkEnd w:id="101"/>
      <w:bookmarkEnd w:id="102"/>
      <w:bookmarkEnd w:id="103"/>
      <w:bookmarkEnd w:id="104"/>
      <w:bookmarkEnd w:id="105"/>
    </w:p>
    <w:p w14:paraId="237F9E9B">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经过几十年的发展，邻水农业结构调整取得显著成效，区域和品种布局日益优化，农产品流通呈现出大规模、长距离、反季节的特点，对农产品物流服务规模和效率提出了更高的要求。尤其是生鲜农产品的区域规模化产出和反季节销售的增加，邻水高新区食品加工产业园的规划和建设，人民群众对冷鲜健康食品需求的不断增长等等，均迫切需要加快发展农产品跨地区保鲜运输。</w:t>
      </w:r>
    </w:p>
    <w:p w14:paraId="4CE7E8BF">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本项目建设将提供一个良好的生鲜、需要冷鲜储存的加工食品的储存、交易平台，通过冷链物流进行跨地区保鲜运输，充分展示邻水的特色食品创新资源，提高土特农产品的知名度和销售量，使邻水丰富的农产品资源优势转变为商品优势，吸引更多的客商来此投资兴业，不断繁荣商贸流通领域。</w:t>
      </w:r>
    </w:p>
    <w:p w14:paraId="22D305D8">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106" w:name="_Toc126"/>
      <w:bookmarkStart w:id="107" w:name="_Toc6349"/>
      <w:bookmarkStart w:id="108" w:name="_Toc5860"/>
      <w:bookmarkStart w:id="109" w:name="_Toc6114"/>
      <w:bookmarkStart w:id="110" w:name="_Toc9393"/>
      <w:r>
        <w:rPr>
          <w:rFonts w:hint="eastAsia" w:ascii="仿宋" w:hAnsi="仿宋" w:eastAsia="仿宋" w:cs="仿宋"/>
          <w:spacing w:val="0"/>
          <w:sz w:val="28"/>
          <w:szCs w:val="28"/>
          <w:highlight w:val="none"/>
          <w:lang w:val="en-US" w:eastAsia="zh-CN"/>
        </w:rPr>
        <w:t>3.项目建设是推进农业产业化进程的需要</w:t>
      </w:r>
      <w:bookmarkEnd w:id="106"/>
      <w:bookmarkEnd w:id="107"/>
      <w:bookmarkEnd w:id="108"/>
      <w:bookmarkEnd w:id="109"/>
      <w:bookmarkEnd w:id="110"/>
    </w:p>
    <w:p w14:paraId="2F0BC916">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农业产业化是以农产品市场为导向，以经济效益为中心，以科技为支撑，按市场经济规律和社会化大生产的要求，通过龙头企业的组织协调，把分散种植的农户与千变万化的大市场衔接起来，进行必要的专业分工和生产要素重组，实现资金、技术、人才和资源等生产要素的优化配置，促成产业的布局区域化、生产专业化、产品标准化、经营一体化和产业市场化。本项目根据市场对鲜活农产品的需求，建设一个具有一定规模的冷链物流园，企业利用自身的优势对农户生产的蔬菜、水果和畜产品进行统一加工、储藏运输、销售，使资源得到优化配置，实现产业的布局区域化、生产专业化、产品标准化、经营一体化和产业市场化，有力地推进农业产业化进程。</w:t>
      </w:r>
    </w:p>
    <w:p w14:paraId="693195AD">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111" w:name="_Toc5972"/>
      <w:bookmarkStart w:id="112" w:name="_Toc14400"/>
      <w:bookmarkStart w:id="113" w:name="_Toc11592"/>
      <w:bookmarkStart w:id="114" w:name="_Toc14222"/>
      <w:bookmarkStart w:id="115" w:name="_Toc10996"/>
      <w:r>
        <w:rPr>
          <w:rFonts w:hint="eastAsia" w:ascii="仿宋" w:hAnsi="仿宋" w:eastAsia="仿宋" w:cs="仿宋"/>
          <w:spacing w:val="0"/>
          <w:sz w:val="28"/>
          <w:szCs w:val="28"/>
          <w:highlight w:val="none"/>
          <w:lang w:val="en-US" w:eastAsia="zh-CN"/>
        </w:rPr>
        <w:t>4.项目是增加农民收入的需要</w:t>
      </w:r>
      <w:bookmarkEnd w:id="111"/>
      <w:bookmarkEnd w:id="112"/>
      <w:bookmarkEnd w:id="113"/>
      <w:bookmarkEnd w:id="114"/>
      <w:bookmarkEnd w:id="115"/>
    </w:p>
    <w:p w14:paraId="6E22863E">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由于目前邻</w:t>
      </w:r>
      <w:r>
        <w:rPr>
          <w:rFonts w:hint="eastAsia" w:ascii="仿宋" w:hAnsi="仿宋" w:eastAsia="仿宋" w:cs="仿宋"/>
          <w:spacing w:val="0"/>
          <w:sz w:val="28"/>
          <w:szCs w:val="28"/>
          <w:highlight w:val="none"/>
          <w:lang w:val="en-US" w:eastAsia="zh-Hans"/>
        </w:rPr>
        <w:t>水县</w:t>
      </w:r>
      <w:r>
        <w:rPr>
          <w:rFonts w:hint="eastAsia" w:ascii="仿宋" w:hAnsi="仿宋" w:eastAsia="仿宋" w:cs="仿宋"/>
          <w:spacing w:val="0"/>
          <w:sz w:val="28"/>
          <w:szCs w:val="28"/>
          <w:highlight w:val="none"/>
          <w:lang w:val="en-US" w:eastAsia="zh-CN"/>
        </w:rPr>
        <w:t>农产品冷链物流技术落后，流通损耗率高，每年有价值过亿元的农产品在流通过程中损失掉，影响农民增收。邻</w:t>
      </w:r>
      <w:r>
        <w:rPr>
          <w:rFonts w:hint="eastAsia" w:ascii="仿宋" w:hAnsi="仿宋" w:eastAsia="仿宋" w:cs="仿宋"/>
          <w:spacing w:val="0"/>
          <w:sz w:val="28"/>
          <w:szCs w:val="28"/>
          <w:highlight w:val="none"/>
          <w:lang w:val="en-US" w:eastAsia="zh-Hans"/>
        </w:rPr>
        <w:t>水</w:t>
      </w:r>
      <w:r>
        <w:rPr>
          <w:rFonts w:hint="eastAsia" w:ascii="仿宋" w:hAnsi="仿宋" w:eastAsia="仿宋" w:cs="仿宋"/>
          <w:spacing w:val="0"/>
          <w:sz w:val="28"/>
          <w:szCs w:val="28"/>
          <w:highlight w:val="none"/>
          <w:lang w:val="en-US" w:eastAsia="zh-CN"/>
        </w:rPr>
        <w:t>县发展冷链物流一方面有利于降低邻水县农产品损耗，直接提高农民收入；另一方面有利于提高农产品流通的产业化程度、组织化程度、信息化程度、标准化程度等，有利于解决目前我国农产品“小生产与大市场” 的对接问题，引导农民科学生产、稳定供给，大大提高农民收入水平。</w:t>
      </w:r>
    </w:p>
    <w:p w14:paraId="40421FE1">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116" w:name="_Toc19519"/>
      <w:bookmarkStart w:id="117" w:name="_Toc5256"/>
      <w:bookmarkStart w:id="118" w:name="_Toc31413"/>
      <w:bookmarkStart w:id="119" w:name="_Toc10939"/>
      <w:bookmarkStart w:id="120" w:name="_Toc15173"/>
      <w:r>
        <w:rPr>
          <w:rFonts w:hint="eastAsia" w:ascii="仿宋" w:hAnsi="仿宋" w:eastAsia="仿宋" w:cs="仿宋"/>
          <w:spacing w:val="0"/>
          <w:sz w:val="28"/>
          <w:szCs w:val="28"/>
          <w:highlight w:val="none"/>
          <w:lang w:val="en-US" w:eastAsia="zh-CN"/>
        </w:rPr>
        <w:t>5.项目是提高农产品质量安全的需要</w:t>
      </w:r>
      <w:bookmarkEnd w:id="116"/>
      <w:bookmarkEnd w:id="117"/>
      <w:bookmarkEnd w:id="118"/>
      <w:bookmarkEnd w:id="119"/>
      <w:bookmarkEnd w:id="120"/>
    </w:p>
    <w:p w14:paraId="3A3EC6AC">
      <w:pPr>
        <w:keepNext w:val="0"/>
        <w:keepLines w:val="0"/>
        <w:pageBreakBefore w:val="0"/>
        <w:widowControl w:val="0"/>
        <w:kinsoku/>
        <w:wordWrap/>
        <w:overflowPunct/>
        <w:topLinePunct w:val="0"/>
        <w:autoSpaceDE/>
        <w:autoSpaceDN/>
        <w:bidi w:val="0"/>
        <w:adjustRightInd w:val="0"/>
        <w:snapToGrid w:val="0"/>
        <w:spacing w:line="500" w:lineRule="exact"/>
        <w:ind w:firstLine="536"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6"/>
          <w:sz w:val="28"/>
          <w:szCs w:val="28"/>
          <w:highlight w:val="none"/>
          <w:lang w:val="en-US" w:eastAsia="zh-CN"/>
        </w:rPr>
        <w:t>目前邻</w:t>
      </w:r>
      <w:r>
        <w:rPr>
          <w:rFonts w:hint="eastAsia" w:ascii="仿宋" w:hAnsi="仿宋" w:eastAsia="仿宋" w:cs="仿宋"/>
          <w:spacing w:val="-6"/>
          <w:sz w:val="28"/>
          <w:szCs w:val="28"/>
          <w:highlight w:val="none"/>
          <w:lang w:val="en-US" w:eastAsia="zh-Hans"/>
        </w:rPr>
        <w:t>水</w:t>
      </w:r>
      <w:r>
        <w:rPr>
          <w:rFonts w:hint="eastAsia" w:ascii="仿宋" w:hAnsi="仿宋" w:eastAsia="仿宋" w:cs="仿宋"/>
          <w:spacing w:val="-6"/>
          <w:sz w:val="28"/>
          <w:szCs w:val="28"/>
          <w:highlight w:val="none"/>
          <w:lang w:val="en-US" w:eastAsia="zh-CN"/>
        </w:rPr>
        <w:t>县大部分初级农产品都是以原始状态投放市场，仅有一个冷冻库，冷链物流技术发展十分滞后，说是空白也不为过，直接影响到最终消费品的质量安全。农产品冷链物流是一项系统工程，从生产到消费的各个环节均有一套严格的技术指标体系，对不同产品品种和不同品质均要求有相应的产品控制与储存时间，保证农产品流通过程的质量安全。</w:t>
      </w:r>
    </w:p>
    <w:p w14:paraId="6B81CA89">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bookmarkStart w:id="121" w:name="_Toc16742"/>
      <w:bookmarkStart w:id="122" w:name="_Toc25119"/>
      <w:bookmarkStart w:id="123" w:name="_Toc5320"/>
      <w:bookmarkStart w:id="124" w:name="_Toc1630"/>
      <w:bookmarkStart w:id="125" w:name="_Toc27667"/>
      <w:r>
        <w:rPr>
          <w:rFonts w:hint="eastAsia" w:ascii="仿宋" w:hAnsi="仿宋" w:eastAsia="仿宋" w:cs="仿宋"/>
          <w:spacing w:val="0"/>
          <w:sz w:val="28"/>
          <w:szCs w:val="28"/>
          <w:highlight w:val="none"/>
          <w:lang w:val="en-US" w:eastAsia="zh-CN"/>
        </w:rPr>
        <w:t>6.项目是市场消费需求趋势的必然要求</w:t>
      </w:r>
      <w:bookmarkEnd w:id="121"/>
      <w:bookmarkEnd w:id="122"/>
      <w:bookmarkEnd w:id="123"/>
      <w:bookmarkEnd w:id="124"/>
      <w:bookmarkEnd w:id="125"/>
    </w:p>
    <w:p w14:paraId="3EB54301">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近几年来，国内农产品物流市场发展十分迅速，全国大部分省市也制定了农产品物流产业发展规划，纷纷兴建物流园区，以此作为招商引资的平台。目前国内农产品物流市场呈地域性集中分布，并形成各自的物流圈。依托各自优势，打造物流平台，促进经济发展。我国农产品冷链物流业正处于发展期，物流企业数量少、经营规模小、市场份额少、服务功能单一、网络分散、经营不规范。大力发展现代农产品冷链物流中心，形成货运物流化、住处网络化、服务社会化的现代冷链物流体系，将大大降低企业库存及占压资金，提高资金周转摔。在邻</w:t>
      </w:r>
      <w:r>
        <w:rPr>
          <w:rFonts w:hint="eastAsia" w:ascii="仿宋" w:hAnsi="仿宋" w:eastAsia="仿宋" w:cs="仿宋"/>
          <w:spacing w:val="0"/>
          <w:sz w:val="28"/>
          <w:szCs w:val="28"/>
          <w:highlight w:val="none"/>
          <w:lang w:val="en-US" w:eastAsia="zh-Hans"/>
        </w:rPr>
        <w:t>水</w:t>
      </w:r>
      <w:r>
        <w:rPr>
          <w:rFonts w:hint="eastAsia" w:ascii="仿宋" w:hAnsi="仿宋" w:eastAsia="仿宋" w:cs="仿宋"/>
          <w:spacing w:val="0"/>
          <w:sz w:val="28"/>
          <w:szCs w:val="28"/>
          <w:highlight w:val="none"/>
          <w:lang w:val="en-US" w:eastAsia="zh-CN"/>
        </w:rPr>
        <w:t>县域内，还没有形成有规模、系统化的农产品冷链物流网络及相关知名企业，市场发展空间较大，竞争较少，冷链物流业蕴含着巨大的市场潜力，是市场消费需求的必然要求。</w:t>
      </w:r>
    </w:p>
    <w:p w14:paraId="02BE4D67">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综上所述，本项目的实施符合《关于试点发展项目收益与融资自求平衡的地方政府专项债券品种的通知》（财预〔2017〕89号）之要求，符合公益性的定义，符合国家政策和国家发展规划、有关政策和规划，是一项</w:t>
      </w:r>
      <w:r>
        <w:rPr>
          <w:rFonts w:hint="eastAsia" w:ascii="仿宋" w:hAnsi="仿宋" w:eastAsia="仿宋" w:cs="仿宋"/>
          <w:spacing w:val="0"/>
          <w:kern w:val="0"/>
          <w:sz w:val="28"/>
          <w:szCs w:val="28"/>
          <w:lang w:val="zh-CN" w:eastAsia="zh-CN"/>
        </w:rPr>
        <w:t>有力地推动邻水县建设成为区域性农产品物流基地，促进邻水县</w:t>
      </w:r>
      <w:r>
        <w:rPr>
          <w:rFonts w:hint="eastAsia" w:ascii="仿宋" w:hAnsi="仿宋" w:eastAsia="仿宋" w:cs="仿宋"/>
          <w:spacing w:val="0"/>
          <w:sz w:val="28"/>
          <w:szCs w:val="28"/>
          <w:highlight w:val="none"/>
          <w:lang w:val="zh-CN" w:eastAsia="zh-CN"/>
        </w:rPr>
        <w:t>农产品市场健康稳定地发展</w:t>
      </w:r>
      <w:r>
        <w:rPr>
          <w:rFonts w:hint="eastAsia" w:ascii="仿宋" w:hAnsi="仿宋" w:eastAsia="仿宋" w:cs="仿宋"/>
          <w:spacing w:val="0"/>
          <w:sz w:val="28"/>
          <w:szCs w:val="28"/>
          <w:highlight w:val="none"/>
          <w:lang w:val="en-US" w:eastAsia="zh-CN"/>
        </w:rPr>
        <w:t>重大工程，具有较强的公益性。</w:t>
      </w:r>
    </w:p>
    <w:p w14:paraId="4B02FECA">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pacing w:val="0"/>
          <w:sz w:val="32"/>
          <w:szCs w:val="32"/>
          <w:lang w:val="en-US" w:eastAsia="zh-CN"/>
        </w:rPr>
      </w:pPr>
      <w:bookmarkStart w:id="126" w:name="_Toc15057"/>
      <w:r>
        <w:rPr>
          <w:rFonts w:hint="eastAsia" w:ascii="黑体" w:hAnsi="黑体" w:eastAsia="黑体" w:cs="黑体"/>
          <w:b w:val="0"/>
          <w:bCs w:val="0"/>
          <w:spacing w:val="0"/>
          <w:sz w:val="32"/>
          <w:szCs w:val="32"/>
          <w:lang w:val="en-US" w:eastAsia="zh-CN"/>
        </w:rPr>
        <w:t>三、项目投资估算及资金筹措方案</w:t>
      </w:r>
      <w:bookmarkEnd w:id="126"/>
    </w:p>
    <w:p w14:paraId="7C695CB4">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127" w:name="_Toc20415"/>
      <w:r>
        <w:rPr>
          <w:rFonts w:hint="eastAsia" w:ascii="楷体" w:hAnsi="楷体" w:eastAsia="楷体" w:cs="楷体"/>
          <w:b w:val="0"/>
          <w:bCs/>
          <w:spacing w:val="0"/>
          <w:sz w:val="32"/>
          <w:szCs w:val="32"/>
        </w:rPr>
        <w:t>（一）</w:t>
      </w:r>
      <w:r>
        <w:rPr>
          <w:rFonts w:hint="eastAsia" w:ascii="楷体" w:hAnsi="楷体" w:eastAsia="楷体" w:cs="楷体"/>
          <w:b w:val="0"/>
          <w:bCs/>
          <w:spacing w:val="0"/>
          <w:sz w:val="32"/>
          <w:szCs w:val="32"/>
        </w:rPr>
        <w:tab/>
      </w:r>
      <w:r>
        <w:rPr>
          <w:rFonts w:hint="eastAsia" w:ascii="楷体" w:hAnsi="楷体" w:eastAsia="楷体" w:cs="楷体"/>
          <w:b w:val="0"/>
          <w:bCs/>
          <w:spacing w:val="0"/>
          <w:sz w:val="32"/>
          <w:szCs w:val="32"/>
        </w:rPr>
        <w:t>投资估算</w:t>
      </w:r>
      <w:bookmarkEnd w:id="127"/>
    </w:p>
    <w:p w14:paraId="3A653E73">
      <w:pPr>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本项目工程估算总投资为 61000.00 万元，其中：第一部分工程费用 42597.64 万元，占总投资的 69.83%；第二部分工程建设其他费用 13421.29 万元，占总投资的22.00%；第三部分预备费 2300.91万元，占总投资的 3.77%；第四部分建设期利息 2680.16万元，占总投资的 4.39%。</w:t>
      </w:r>
    </w:p>
    <w:p w14:paraId="5CA30930">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128" w:name="_Toc22415"/>
      <w:r>
        <w:rPr>
          <w:rFonts w:hint="eastAsia" w:ascii="楷体" w:hAnsi="楷体" w:eastAsia="楷体" w:cs="楷体"/>
          <w:b w:val="0"/>
          <w:bCs/>
          <w:spacing w:val="0"/>
          <w:sz w:val="32"/>
          <w:szCs w:val="32"/>
        </w:rPr>
        <w:t>（二）资金筹措方案</w:t>
      </w:r>
      <w:bookmarkEnd w:id="128"/>
    </w:p>
    <w:p w14:paraId="68E21697">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129" w:name="_Toc13568"/>
      <w:r>
        <w:rPr>
          <w:rFonts w:hint="eastAsia" w:ascii="仿宋" w:hAnsi="仿宋" w:eastAsia="仿宋" w:cs="仿宋"/>
          <w:spacing w:val="0"/>
          <w:sz w:val="28"/>
          <w:szCs w:val="28"/>
          <w:highlight w:val="none"/>
          <w:lang w:val="en-US" w:eastAsia="zh-CN"/>
        </w:rPr>
        <w:t>1. 资金筹集情况</w:t>
      </w:r>
      <w:bookmarkEnd w:id="129"/>
    </w:p>
    <w:p w14:paraId="4EB2BDA2">
      <w:pPr>
        <w:pageBreakBefore w:val="0"/>
        <w:widowControl w:val="0"/>
        <w:kinsoku/>
        <w:wordWrap/>
        <w:overflowPunct/>
        <w:topLinePunct w:val="0"/>
        <w:bidi w:val="0"/>
        <w:adjustRightInd w:val="0"/>
        <w:snapToGrid w:val="0"/>
        <w:spacing w:line="500" w:lineRule="exact"/>
        <w:ind w:firstLine="560"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本项目总投资为61000万元，其中：项目资本金31000万元，拟发行专项债券30000万元。项目建设过程中，按照项目实施进度保证资本金及时足额到位。</w:t>
      </w:r>
    </w:p>
    <w:p w14:paraId="0E1ED007">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bookmarkStart w:id="130" w:name="_Toc9211"/>
      <w:r>
        <w:rPr>
          <w:rFonts w:hint="eastAsia" w:ascii="仿宋" w:hAnsi="仿宋" w:eastAsia="仿宋" w:cs="仿宋"/>
          <w:spacing w:val="0"/>
          <w:sz w:val="28"/>
          <w:szCs w:val="28"/>
          <w:highlight w:val="none"/>
          <w:lang w:val="en-US" w:eastAsia="zh-CN"/>
        </w:rPr>
        <w:t>2.资金使用计划</w:t>
      </w:r>
      <w:bookmarkEnd w:id="130"/>
    </w:p>
    <w:p w14:paraId="45AA695D">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jc w:val="left"/>
        <w:textAlignment w:val="auto"/>
        <w:rPr>
          <w:rFonts w:hint="eastAsia" w:ascii="仿宋" w:hAnsi="仿宋" w:eastAsia="仿宋" w:cs="仿宋"/>
          <w:spacing w:val="0"/>
          <w:sz w:val="32"/>
          <w:szCs w:val="32"/>
          <w:highlight w:val="none"/>
          <w:lang w:val="en-US" w:eastAsia="zh-CN"/>
        </w:rPr>
      </w:pPr>
      <w:r>
        <w:rPr>
          <w:rFonts w:hint="eastAsia" w:ascii="仿宋" w:hAnsi="仿宋" w:eastAsia="仿宋" w:cs="仿宋"/>
          <w:spacing w:val="0"/>
          <w:sz w:val="28"/>
          <w:szCs w:val="28"/>
          <w:highlight w:val="none"/>
          <w:lang w:val="en-US" w:eastAsia="zh-CN"/>
        </w:rPr>
        <w:t>具体的资金使用及筹措计划见表1:</w:t>
      </w:r>
      <w:r>
        <w:rPr>
          <w:rFonts w:hint="eastAsia" w:ascii="仿宋" w:hAnsi="仿宋" w:eastAsia="仿宋" w:cs="仿宋"/>
          <w:spacing w:val="0"/>
          <w:sz w:val="32"/>
          <w:szCs w:val="32"/>
          <w:highlight w:val="none"/>
          <w:lang w:val="en-US" w:eastAsia="zh-CN"/>
        </w:rPr>
        <w:t xml:space="preserve"> </w:t>
      </w:r>
    </w:p>
    <w:p w14:paraId="4CE6F526">
      <w:pPr>
        <w:keepNext w:val="0"/>
        <w:keepLines w:val="0"/>
        <w:pageBreakBefore w:val="0"/>
        <w:widowControl w:val="0"/>
        <w:kinsoku/>
        <w:wordWrap/>
        <w:overflowPunct/>
        <w:topLinePunct w:val="0"/>
        <w:autoSpaceDE/>
        <w:autoSpaceDN/>
        <w:bidi w:val="0"/>
        <w:adjustRightInd/>
        <w:snapToGrid/>
        <w:spacing w:before="157" w:beforeLines="50" w:after="157" w:afterLines="50" w:line="500" w:lineRule="exact"/>
        <w:ind w:left="0" w:leftChars="0" w:firstLine="0" w:firstLineChars="0"/>
        <w:jc w:val="center"/>
        <w:textAlignment w:val="auto"/>
        <w:rPr>
          <w:rFonts w:hint="eastAsia" w:ascii="仿宋" w:hAnsi="仿宋" w:eastAsia="仿宋" w:cs="仿宋"/>
          <w:b/>
          <w:bCs/>
          <w:sz w:val="32"/>
          <w:szCs w:val="32"/>
          <w:highlight w:val="none"/>
          <w:lang w:val="en-US" w:eastAsia="zh-CN"/>
        </w:rPr>
      </w:pPr>
      <w:r>
        <w:rPr>
          <w:rFonts w:hint="eastAsia" w:ascii="仿宋" w:hAnsi="仿宋" w:eastAsia="仿宋" w:cs="仿宋"/>
          <w:b/>
          <w:bCs/>
          <w:spacing w:val="0"/>
          <w:sz w:val="32"/>
          <w:szCs w:val="32"/>
          <w:highlight w:val="none"/>
          <w:lang w:val="en-US" w:eastAsia="zh-CN"/>
        </w:rPr>
        <w:t>表1 资金使用及筹措计划表</w:t>
      </w:r>
      <w:r>
        <w:rPr>
          <w:rFonts w:hint="eastAsia" w:ascii="仿宋" w:hAnsi="仿宋" w:eastAsia="仿宋" w:cs="仿宋"/>
          <w:b/>
          <w:bCs/>
          <w:spacing w:val="0"/>
          <w:sz w:val="28"/>
          <w:szCs w:val="28"/>
          <w:highlight w:val="none"/>
          <w:lang w:val="en-US" w:eastAsia="zh-CN"/>
        </w:rPr>
        <w:t>（</w:t>
      </w:r>
      <w:r>
        <w:rPr>
          <w:rFonts w:hint="eastAsia" w:ascii="仿宋" w:hAnsi="仿宋" w:eastAsia="仿宋" w:cs="仿宋"/>
          <w:b/>
          <w:bCs/>
          <w:sz w:val="28"/>
          <w:szCs w:val="28"/>
          <w:highlight w:val="none"/>
          <w:lang w:val="en-US" w:eastAsia="zh-CN"/>
        </w:rPr>
        <w:t>单位：万元）</w:t>
      </w:r>
    </w:p>
    <w:tbl>
      <w:tblPr>
        <w:tblStyle w:val="14"/>
        <w:tblW w:w="951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3129"/>
        <w:gridCol w:w="1316"/>
        <w:gridCol w:w="1456"/>
        <w:gridCol w:w="1150"/>
        <w:gridCol w:w="1116"/>
        <w:gridCol w:w="1350"/>
      </w:tblGrid>
      <w:tr w14:paraId="42A09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79"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1584B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bookmarkStart w:id="131" w:name="_Toc20305"/>
            <w:r>
              <w:rPr>
                <w:rFonts w:hint="eastAsia" w:ascii="宋体" w:hAnsi="宋体" w:eastAsia="宋体" w:cs="宋体"/>
                <w:i w:val="0"/>
                <w:iCs w:val="0"/>
                <w:color w:val="000000"/>
                <w:kern w:val="0"/>
                <w:sz w:val="22"/>
                <w:szCs w:val="22"/>
                <w:u w:val="none"/>
                <w:lang w:val="en-US" w:eastAsia="zh-CN" w:bidi="ar"/>
              </w:rPr>
              <w:t>项目</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385A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合计</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51FF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2022年10月-12月</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700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2023年</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3160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2024年</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6CB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2025年1月-9月</w:t>
            </w:r>
          </w:p>
        </w:tc>
      </w:tr>
      <w:tr w14:paraId="3BEB8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8998F8">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一、项目总投资</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C2A8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61000.00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2ECF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9100.00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378D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20000.00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2FA66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20000.00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1FB2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11900.00 </w:t>
            </w:r>
          </w:p>
        </w:tc>
      </w:tr>
      <w:tr w14:paraId="54A603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5CDD9">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1、工程费用</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E40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42597.64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2C8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2334.62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C5B7A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14760.61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FA5D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16830.11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77C0A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8672.29 </w:t>
            </w:r>
          </w:p>
        </w:tc>
      </w:tr>
      <w:tr w14:paraId="56845D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E35F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2、工程其他费用</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63EB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13421.29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691B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6421.29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CA6E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4000.00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D10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1500.00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AA5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1500.00 </w:t>
            </w:r>
          </w:p>
        </w:tc>
      </w:tr>
      <w:tr w14:paraId="60235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969A1">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3、预备费</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33306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2300.91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2788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300.91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81D56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666.67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38C6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666.67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F3B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666.67 </w:t>
            </w:r>
          </w:p>
        </w:tc>
      </w:tr>
      <w:tr w14:paraId="135D00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5A4AF">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4.建设期债券利息及基金利息</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6ABA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2680.16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39DA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43.18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A4D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572.72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84B1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1003.22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7EC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1061.04 </w:t>
            </w:r>
          </w:p>
        </w:tc>
      </w:tr>
      <w:tr w14:paraId="2B711B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7B53CB">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二、资金来源</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C37DD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61000.00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90D6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9100.00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287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20000.00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ABEC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20000.00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F0A7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11900.00 </w:t>
            </w:r>
          </w:p>
        </w:tc>
      </w:tr>
      <w:tr w14:paraId="3FD565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5"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F536E">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1、项目资本金</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D1F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31000.00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F6A7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7100.00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CC6E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10000.00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85CF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10000.00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F0C3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3900.00 </w:t>
            </w:r>
          </w:p>
        </w:tc>
      </w:tr>
      <w:tr w14:paraId="435F87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jc w:val="center"/>
        </w:trPr>
        <w:tc>
          <w:tcPr>
            <w:tcW w:w="31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162A2">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2、专项债</w:t>
            </w:r>
          </w:p>
        </w:tc>
        <w:tc>
          <w:tcPr>
            <w:tcW w:w="13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5A2F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30000.00 </w:t>
            </w:r>
          </w:p>
        </w:tc>
        <w:tc>
          <w:tcPr>
            <w:tcW w:w="145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1BA3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2000.00 </w:t>
            </w:r>
          </w:p>
        </w:tc>
        <w:tc>
          <w:tcPr>
            <w:tcW w:w="11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8E78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10000.00 </w:t>
            </w:r>
          </w:p>
        </w:tc>
        <w:tc>
          <w:tcPr>
            <w:tcW w:w="111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AF5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10000.00 </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2F37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8000.00 </w:t>
            </w:r>
          </w:p>
        </w:tc>
      </w:tr>
    </w:tbl>
    <w:p w14:paraId="06A4FBFA">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pacing w:val="0"/>
          <w:sz w:val="32"/>
          <w:szCs w:val="32"/>
          <w:lang w:val="en-US" w:eastAsia="zh-CN"/>
        </w:rPr>
      </w:pPr>
      <w:r>
        <w:rPr>
          <w:rFonts w:hint="eastAsia" w:ascii="黑体" w:hAnsi="黑体" w:eastAsia="黑体" w:cs="黑体"/>
          <w:b w:val="0"/>
          <w:bCs w:val="0"/>
          <w:spacing w:val="0"/>
          <w:sz w:val="32"/>
          <w:szCs w:val="32"/>
          <w:lang w:val="en-US" w:eastAsia="zh-CN"/>
        </w:rPr>
        <w:t>四、项目预期收益、成本及融资平衡情况</w:t>
      </w:r>
      <w:bookmarkEnd w:id="131"/>
    </w:p>
    <w:p w14:paraId="1E1E95F8">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132" w:name="_Toc31211"/>
      <w:r>
        <w:rPr>
          <w:rFonts w:hint="eastAsia" w:ascii="楷体" w:hAnsi="楷体" w:eastAsia="楷体" w:cs="楷体"/>
          <w:b w:val="0"/>
          <w:bCs/>
          <w:spacing w:val="0"/>
          <w:sz w:val="32"/>
          <w:szCs w:val="32"/>
        </w:rPr>
        <w:t>（一）预期收益</w:t>
      </w:r>
      <w:bookmarkEnd w:id="132"/>
    </w:p>
    <w:p w14:paraId="1AEBAD10">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color w:val="auto"/>
          <w:spacing w:val="0"/>
          <w:sz w:val="28"/>
          <w:szCs w:val="28"/>
          <w:highlight w:val="none"/>
          <w:lang w:val="en-US" w:eastAsia="zh-CN"/>
        </w:rPr>
      </w:pPr>
      <w:r>
        <w:rPr>
          <w:rFonts w:hint="eastAsia" w:ascii="仿宋" w:hAnsi="仿宋" w:eastAsia="仿宋" w:cs="仿宋"/>
          <w:color w:val="auto"/>
          <w:spacing w:val="0"/>
          <w:sz w:val="28"/>
          <w:szCs w:val="28"/>
          <w:highlight w:val="none"/>
          <w:lang w:val="en-US" w:eastAsia="zh-CN"/>
        </w:rPr>
        <w:t>1.项目收入</w:t>
      </w:r>
    </w:p>
    <w:p w14:paraId="0ECC6DFA">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color w:val="auto"/>
          <w:spacing w:val="0"/>
          <w:kern w:val="2"/>
          <w:sz w:val="28"/>
          <w:szCs w:val="28"/>
          <w:highlight w:val="none"/>
          <w:lang w:val="en-US" w:eastAsia="zh-CN" w:bidi="ar-SA"/>
        </w:rPr>
      </w:pPr>
      <w:r>
        <w:rPr>
          <w:rFonts w:hint="eastAsia" w:ascii="仿宋" w:hAnsi="仿宋" w:eastAsia="仿宋" w:cs="仿宋"/>
          <w:color w:val="auto"/>
          <w:spacing w:val="0"/>
          <w:sz w:val="28"/>
          <w:szCs w:val="28"/>
          <w:highlight w:val="none"/>
          <w:lang w:val="en-US" w:eastAsia="zh-CN"/>
        </w:rPr>
        <w:t>根据项目经营市场情况，以谨慎态度预计，本项目收入主要包括节能型通风贮藏库出租收入、节能型机械冷库（高温库）出租收入、节能型气调贮藏库出租收入、冷库建筑出租收入、配送中心出租收入、 停车场收入、充电桩收入、广告收入、物业收入等。债券发行期，项目运</w:t>
      </w:r>
      <w:r>
        <w:rPr>
          <w:rFonts w:hint="eastAsia" w:ascii="仿宋" w:hAnsi="仿宋" w:eastAsia="仿宋" w:cs="仿宋"/>
          <w:color w:val="auto"/>
          <w:spacing w:val="0"/>
          <w:kern w:val="2"/>
          <w:sz w:val="28"/>
          <w:szCs w:val="28"/>
          <w:highlight w:val="none"/>
          <w:lang w:val="en-US" w:eastAsia="zh-CN" w:bidi="ar-SA"/>
        </w:rPr>
        <w:t>营约19年，总收入合计为：92301.33万元。</w:t>
      </w:r>
    </w:p>
    <w:p w14:paraId="18012386">
      <w:pPr>
        <w:pStyle w:val="5"/>
        <w:keepNext/>
        <w:keepLines/>
        <w:pageBreakBefore w:val="0"/>
        <w:widowControl w:val="0"/>
        <w:numPr>
          <w:ilvl w:val="2"/>
          <w:numId w:val="0"/>
        </w:numPr>
        <w:kinsoku/>
        <w:wordWrap/>
        <w:overflowPunct/>
        <w:topLinePunct w:val="0"/>
        <w:autoSpaceDE/>
        <w:autoSpaceDN/>
        <w:bidi w:val="0"/>
        <w:adjustRightInd w:val="0"/>
        <w:snapToGrid w:val="0"/>
        <w:spacing w:before="0" w:beforeLines="0" w:after="0" w:afterLines="0" w:line="500" w:lineRule="exact"/>
        <w:ind w:firstLine="562" w:firstLineChars="200"/>
        <w:textAlignment w:val="auto"/>
        <w:rPr>
          <w:rFonts w:hint="eastAsia" w:ascii="仿宋" w:hAnsi="仿宋" w:eastAsia="仿宋" w:cs="仿宋"/>
          <w:spacing w:val="0"/>
          <w:sz w:val="28"/>
          <w:szCs w:val="28"/>
          <w:highlight w:val="none"/>
          <w:lang w:val="en-US" w:eastAsia="zh-CN"/>
        </w:rPr>
      </w:pPr>
      <w:r>
        <w:rPr>
          <w:rFonts w:hint="eastAsia" w:ascii="仿宋" w:hAnsi="仿宋" w:eastAsia="仿宋" w:cs="仿宋"/>
          <w:spacing w:val="0"/>
          <w:sz w:val="28"/>
          <w:szCs w:val="28"/>
          <w:highlight w:val="none"/>
          <w:lang w:val="en-US" w:eastAsia="zh-CN"/>
        </w:rPr>
        <w:t>2.项目成本</w:t>
      </w:r>
    </w:p>
    <w:p w14:paraId="52A78CD6">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jc w:val="both"/>
        <w:textAlignment w:val="auto"/>
        <w:rPr>
          <w:rFonts w:hint="eastAsia" w:ascii="仿宋" w:hAnsi="仿宋" w:eastAsia="仿宋" w:cs="仿宋"/>
          <w:color w:val="000000" w:themeColor="text1"/>
          <w:spacing w:val="0"/>
          <w:kern w:val="2"/>
          <w:sz w:val="28"/>
          <w:szCs w:val="28"/>
          <w:highlight w:val="none"/>
          <w:lang w:val="en-US" w:eastAsia="zh-CN" w:bidi="ar-SA"/>
          <w14:textFill>
            <w14:solidFill>
              <w14:schemeClr w14:val="tx1"/>
            </w14:solidFill>
          </w14:textFill>
        </w:rPr>
      </w:pPr>
      <w:r>
        <w:rPr>
          <w:rFonts w:hint="eastAsia" w:ascii="仿宋" w:hAnsi="仿宋" w:eastAsia="仿宋" w:cs="仿宋"/>
          <w:color w:val="000000" w:themeColor="text1"/>
          <w:spacing w:val="0"/>
          <w:kern w:val="2"/>
          <w:sz w:val="28"/>
          <w:szCs w:val="28"/>
          <w:highlight w:val="none"/>
          <w:lang w:val="en-US" w:eastAsia="zh-CN" w:bidi="ar-SA"/>
          <w14:textFill>
            <w14:solidFill>
              <w14:schemeClr w14:val="tx1"/>
            </w14:solidFill>
          </w14:textFill>
        </w:rPr>
        <w:t>本项目总成本费用分为经营成本和其他成本，经营成本包括人员工资及福利费、管理费用、维修费、燃料及动力费；其他成本包括固定资产折旧、财务费用、相关税费，经测算本项目债券发行期，项目运营约19年，总成本合计为80497.62万元，其中：经营成本13461.87万元，其他成本67035.75万元。</w:t>
      </w:r>
    </w:p>
    <w:p w14:paraId="451DF5ED">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pacing w:val="0"/>
          <w:sz w:val="32"/>
          <w:szCs w:val="32"/>
        </w:rPr>
      </w:pPr>
      <w:bookmarkStart w:id="133" w:name="_Toc29690"/>
      <w:r>
        <w:rPr>
          <w:rFonts w:hint="eastAsia" w:ascii="楷体" w:hAnsi="楷体" w:eastAsia="楷体" w:cs="楷体"/>
          <w:b w:val="0"/>
          <w:bCs/>
          <w:spacing w:val="0"/>
          <w:sz w:val="32"/>
          <w:szCs w:val="32"/>
        </w:rPr>
        <w:t>（</w:t>
      </w:r>
      <w:r>
        <w:rPr>
          <w:rFonts w:hint="eastAsia" w:ascii="楷体" w:hAnsi="楷体" w:eastAsia="楷体" w:cs="楷体"/>
          <w:b w:val="0"/>
          <w:bCs/>
          <w:spacing w:val="0"/>
          <w:sz w:val="32"/>
          <w:szCs w:val="32"/>
          <w:lang w:val="en-US" w:eastAsia="zh-CN"/>
        </w:rPr>
        <w:t>二</w:t>
      </w:r>
      <w:r>
        <w:rPr>
          <w:rFonts w:hint="eastAsia" w:ascii="楷体" w:hAnsi="楷体" w:eastAsia="楷体" w:cs="楷体"/>
          <w:b w:val="0"/>
          <w:bCs/>
          <w:spacing w:val="0"/>
          <w:sz w:val="32"/>
          <w:szCs w:val="32"/>
        </w:rPr>
        <w:t>）资金测算平衡情况</w:t>
      </w:r>
      <w:bookmarkEnd w:id="133"/>
    </w:p>
    <w:p w14:paraId="7733C8DB">
      <w:pPr>
        <w:keepNext w:val="0"/>
        <w:keepLines w:val="0"/>
        <w:pageBreakBefore w:val="0"/>
        <w:widowControl w:val="0"/>
        <w:kinsoku/>
        <w:wordWrap/>
        <w:overflowPunct/>
        <w:topLinePunct w:val="0"/>
        <w:autoSpaceDE/>
        <w:autoSpaceDN/>
        <w:bidi w:val="0"/>
        <w:adjustRightInd w:val="0"/>
        <w:snapToGrid w:val="0"/>
        <w:spacing w:line="500" w:lineRule="exact"/>
        <w:ind w:firstLine="560" w:firstLineChars="200"/>
        <w:textAlignment w:val="auto"/>
        <w:rPr>
          <w:rFonts w:hint="eastAsia" w:ascii="仿宋" w:hAnsi="仿宋" w:eastAsia="仿宋" w:cs="仿宋"/>
          <w:color w:val="000000" w:themeColor="text1"/>
          <w:spacing w:val="0"/>
          <w:sz w:val="28"/>
          <w:szCs w:val="28"/>
          <w:highlight w:val="none"/>
          <w14:textFill>
            <w14:solidFill>
              <w14:schemeClr w14:val="tx1"/>
            </w14:solidFill>
          </w14:textFill>
        </w:rPr>
      </w:pPr>
      <w:r>
        <w:rPr>
          <w:rFonts w:hint="eastAsia" w:ascii="仿宋" w:hAnsi="仿宋" w:eastAsia="仿宋" w:cs="仿宋"/>
          <w:color w:val="000000" w:themeColor="text1"/>
          <w:spacing w:val="0"/>
          <w:sz w:val="28"/>
          <w:szCs w:val="28"/>
          <w:highlight w:val="none"/>
          <w14:textFill>
            <w14:solidFill>
              <w14:schemeClr w14:val="tx1"/>
            </w14:solidFill>
          </w14:textFill>
        </w:rPr>
        <w:t xml:space="preserve">若项目在满足上述资金筹集计划、项目实施计划、资金使用计划及预期收益的的假设前提下，政府专项债到期日累计资金结余 </w:t>
      </w:r>
      <w:r>
        <w:rPr>
          <w:rFonts w:hint="eastAsia" w:ascii="仿宋" w:hAnsi="仿宋" w:eastAsia="仿宋" w:cs="仿宋"/>
          <w:color w:val="000000" w:themeColor="text1"/>
          <w:spacing w:val="0"/>
          <w:sz w:val="28"/>
          <w:szCs w:val="28"/>
          <w:highlight w:val="none"/>
          <w:lang w:val="en-US" w:eastAsia="zh-CN"/>
          <w14:textFill>
            <w14:solidFill>
              <w14:schemeClr w14:val="tx1"/>
            </w14:solidFill>
          </w14:textFill>
        </w:rPr>
        <w:t>16037.36</w:t>
      </w:r>
      <w:r>
        <w:rPr>
          <w:rFonts w:hint="eastAsia" w:ascii="仿宋" w:hAnsi="仿宋" w:eastAsia="仿宋" w:cs="仿宋"/>
          <w:color w:val="000000" w:themeColor="text1"/>
          <w:spacing w:val="0"/>
          <w:sz w:val="28"/>
          <w:szCs w:val="28"/>
          <w:highlight w:val="none"/>
          <w14:textFill>
            <w14:solidFill>
              <w14:schemeClr w14:val="tx1"/>
            </w14:solidFill>
          </w14:textFill>
        </w:rPr>
        <w:t xml:space="preserve"> 万元，项目在预测期内可实现息前净现金流 </w:t>
      </w:r>
      <w:r>
        <w:rPr>
          <w:rFonts w:hint="eastAsia" w:ascii="仿宋" w:hAnsi="仿宋" w:eastAsia="仿宋" w:cs="仿宋"/>
          <w:color w:val="000000" w:themeColor="text1"/>
          <w:spacing w:val="0"/>
          <w:sz w:val="28"/>
          <w:szCs w:val="28"/>
          <w:highlight w:val="none"/>
          <w:lang w:val="en-US" w:eastAsia="zh-CN"/>
          <w14:textFill>
            <w14:solidFill>
              <w14:schemeClr w14:val="tx1"/>
            </w14:solidFill>
          </w14:textFill>
        </w:rPr>
        <w:t>67757.36</w:t>
      </w:r>
      <w:r>
        <w:rPr>
          <w:rFonts w:hint="eastAsia" w:ascii="仿宋" w:hAnsi="仿宋" w:eastAsia="仿宋" w:cs="仿宋"/>
          <w:color w:val="000000" w:themeColor="text1"/>
          <w:spacing w:val="0"/>
          <w:sz w:val="28"/>
          <w:szCs w:val="28"/>
          <w:highlight w:val="none"/>
          <w14:textFill>
            <w14:solidFill>
              <w14:schemeClr w14:val="tx1"/>
            </w14:solidFill>
          </w14:textFill>
        </w:rPr>
        <w:t xml:space="preserve">万元，政府专项债券到期本息合计 </w:t>
      </w:r>
      <w:r>
        <w:rPr>
          <w:rFonts w:hint="eastAsia" w:ascii="仿宋" w:hAnsi="仿宋" w:eastAsia="仿宋" w:cs="仿宋"/>
          <w:color w:val="000000" w:themeColor="text1"/>
          <w:spacing w:val="0"/>
          <w:sz w:val="28"/>
          <w:szCs w:val="28"/>
          <w:highlight w:val="none"/>
          <w:lang w:val="en-US" w:eastAsia="zh-CN"/>
          <w14:textFill>
            <w14:solidFill>
              <w14:schemeClr w14:val="tx1"/>
            </w14:solidFill>
          </w14:textFill>
        </w:rPr>
        <w:t>54000</w:t>
      </w:r>
      <w:r>
        <w:rPr>
          <w:rFonts w:hint="eastAsia" w:ascii="仿宋" w:hAnsi="仿宋" w:eastAsia="仿宋" w:cs="仿宋"/>
          <w:color w:val="000000" w:themeColor="text1"/>
          <w:spacing w:val="0"/>
          <w:sz w:val="28"/>
          <w:szCs w:val="28"/>
          <w:highlight w:val="none"/>
          <w14:textFill>
            <w14:solidFill>
              <w14:schemeClr w14:val="tx1"/>
            </w14:solidFill>
          </w14:textFill>
        </w:rPr>
        <w:t>.00 万元，本项目息前净现金流/政府专项债本息的收益覆盖倍数为 1.2</w:t>
      </w:r>
      <w:r>
        <w:rPr>
          <w:rFonts w:hint="eastAsia" w:ascii="仿宋" w:hAnsi="仿宋" w:eastAsia="仿宋" w:cs="仿宋"/>
          <w:color w:val="000000" w:themeColor="text1"/>
          <w:spacing w:val="0"/>
          <w:sz w:val="28"/>
          <w:szCs w:val="28"/>
          <w:highlight w:val="none"/>
          <w:lang w:val="en-US" w:eastAsia="zh-CN"/>
          <w14:textFill>
            <w14:solidFill>
              <w14:schemeClr w14:val="tx1"/>
            </w14:solidFill>
          </w14:textFill>
        </w:rPr>
        <w:t>5</w:t>
      </w:r>
      <w:r>
        <w:rPr>
          <w:rFonts w:hint="eastAsia" w:ascii="仿宋" w:hAnsi="仿宋" w:eastAsia="仿宋" w:cs="仿宋"/>
          <w:color w:val="000000" w:themeColor="text1"/>
          <w:spacing w:val="0"/>
          <w:sz w:val="28"/>
          <w:szCs w:val="28"/>
          <w:highlight w:val="none"/>
          <w14:textFill>
            <w14:solidFill>
              <w14:schemeClr w14:val="tx1"/>
            </w14:solidFill>
          </w14:textFill>
        </w:rPr>
        <w:t xml:space="preserve"> 倍。期间不存在资金缺口能够覆盖本息金额。</w:t>
      </w:r>
    </w:p>
    <w:p w14:paraId="52E2A83A">
      <w:pPr>
        <w:pStyle w:val="13"/>
        <w:pageBreakBefore w:val="0"/>
        <w:widowControl w:val="0"/>
        <w:kinsoku/>
        <w:wordWrap/>
        <w:overflowPunct/>
        <w:topLinePunct w:val="0"/>
        <w:autoSpaceDE/>
        <w:autoSpaceDN/>
        <w:bidi w:val="0"/>
        <w:adjustRightInd w:val="0"/>
        <w:snapToGrid w:val="0"/>
        <w:spacing w:after="0" w:line="500" w:lineRule="exact"/>
        <w:textAlignment w:val="auto"/>
        <w:rPr>
          <w:rFonts w:hint="default" w:ascii="仿宋" w:hAnsi="仿宋" w:eastAsia="仿宋" w:cs="仿宋"/>
          <w:color w:val="000000" w:themeColor="text1"/>
          <w:spacing w:val="0"/>
          <w:kern w:val="2"/>
          <w:sz w:val="28"/>
          <w:szCs w:val="28"/>
          <w:highlight w:val="none"/>
          <w:lang w:val="en-US" w:eastAsia="zh-CN" w:bidi="ar-SA"/>
          <w14:textFill>
            <w14:solidFill>
              <w14:schemeClr w14:val="tx1"/>
            </w14:solidFill>
          </w14:textFill>
        </w:rPr>
        <w:sectPr>
          <w:footerReference r:id="rId3" w:type="default"/>
          <w:pgSz w:w="11906" w:h="16838"/>
          <w:pgMar w:top="1871" w:right="1587" w:bottom="1701" w:left="1587" w:header="851" w:footer="992" w:gutter="0"/>
          <w:pgNumType w:fmt="decimal" w:start="1"/>
          <w:cols w:space="425" w:num="1"/>
          <w:docGrid w:type="lines" w:linePitch="312" w:charSpace="0"/>
        </w:sectPr>
      </w:pPr>
      <w:r>
        <w:rPr>
          <w:rFonts w:hint="eastAsia" w:ascii="仿宋" w:hAnsi="仿宋" w:eastAsia="仿宋" w:cs="仿宋"/>
          <w:color w:val="000000" w:themeColor="text1"/>
          <w:spacing w:val="0"/>
          <w:kern w:val="2"/>
          <w:sz w:val="28"/>
          <w:szCs w:val="28"/>
          <w:highlight w:val="none"/>
          <w:lang w:val="en-US" w:eastAsia="zh-CN" w:bidi="ar-SA"/>
          <w14:textFill>
            <w14:solidFill>
              <w14:schemeClr w14:val="tx1"/>
            </w14:solidFill>
          </w14:textFill>
        </w:rPr>
        <w:t>项目资金测算平衡表如下表：</w:t>
      </w:r>
    </w:p>
    <w:p w14:paraId="30AF19A0">
      <w:pPr>
        <w:keepNext w:val="0"/>
        <w:keepLines w:val="0"/>
        <w:pageBreakBefore w:val="0"/>
        <w:widowControl w:val="0"/>
        <w:kinsoku/>
        <w:wordWrap/>
        <w:overflowPunct/>
        <w:topLinePunct w:val="0"/>
        <w:autoSpaceDE/>
        <w:autoSpaceDN/>
        <w:bidi w:val="0"/>
        <w:adjustRightInd/>
        <w:snapToGrid/>
        <w:spacing w:after="313" w:afterLines="100"/>
        <w:ind w:firstLine="0"/>
        <w:jc w:val="center"/>
        <w:textAlignment w:val="auto"/>
        <w:rPr>
          <w:rFonts w:hint="default" w:ascii="宋体" w:hAnsi="宋体" w:eastAsia="宋体" w:cs="宋体"/>
          <w:b/>
          <w:bCs/>
          <w:color w:val="auto"/>
          <w:sz w:val="24"/>
          <w:szCs w:val="24"/>
          <w:highlight w:val="none"/>
          <w:lang w:val="en-US" w:eastAsia="zh-CN"/>
        </w:rPr>
      </w:pPr>
      <w:r>
        <w:rPr>
          <w:rFonts w:hint="eastAsia" w:ascii="宋体" w:hAnsi="宋体" w:eastAsia="宋体" w:cs="宋体"/>
          <w:b/>
          <w:bCs/>
          <w:color w:val="auto"/>
          <w:sz w:val="24"/>
          <w:szCs w:val="24"/>
          <w:highlight w:val="none"/>
          <w:lang w:eastAsia="zh-CN"/>
        </w:rPr>
        <w:t>邻水县冷链物流园及配套设施建设项目资金测算平衡表（</w:t>
      </w:r>
      <w:r>
        <w:rPr>
          <w:rFonts w:hint="eastAsia" w:ascii="宋体" w:hAnsi="宋体" w:eastAsia="宋体" w:cs="宋体"/>
          <w:b/>
          <w:bCs/>
          <w:color w:val="auto"/>
          <w:sz w:val="24"/>
          <w:szCs w:val="24"/>
          <w:highlight w:val="none"/>
          <w:lang w:val="en-US" w:eastAsia="zh-CN"/>
        </w:rPr>
        <w:t>单位：万元）</w:t>
      </w:r>
    </w:p>
    <w:tbl>
      <w:tblPr>
        <w:tblStyle w:val="14"/>
        <w:tblW w:w="4851"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58"/>
        <w:gridCol w:w="3001"/>
        <w:gridCol w:w="1066"/>
        <w:gridCol w:w="1042"/>
        <w:gridCol w:w="855"/>
        <w:gridCol w:w="929"/>
        <w:gridCol w:w="1035"/>
        <w:gridCol w:w="1102"/>
        <w:gridCol w:w="1049"/>
        <w:gridCol w:w="1049"/>
        <w:gridCol w:w="1049"/>
        <w:gridCol w:w="1049"/>
        <w:gridCol w:w="1049"/>
        <w:gridCol w:w="1049"/>
        <w:gridCol w:w="1575"/>
      </w:tblGrid>
      <w:tr w14:paraId="2DCA91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7" w:hRule="atLeast"/>
          <w:jc w:val="center"/>
        </w:trPr>
        <w:tc>
          <w:tcPr>
            <w:tcW w:w="5000" w:type="pct"/>
            <w:gridSpan w:val="15"/>
            <w:tcBorders>
              <w:top w:val="nil"/>
              <w:left w:val="nil"/>
              <w:bottom w:val="nil"/>
              <w:right w:val="nil"/>
            </w:tcBorders>
            <w:shd w:val="clear" w:color="auto" w:fill="5B9BD5"/>
            <w:noWrap/>
            <w:vAlign w:val="center"/>
          </w:tcPr>
          <w:p w14:paraId="46C1ABD7">
            <w:pPr>
              <w:keepNext w:val="0"/>
              <w:keepLines w:val="0"/>
              <w:widowControl/>
              <w:suppressLineNumbers w:val="0"/>
              <w:jc w:val="center"/>
              <w:textAlignment w:val="center"/>
              <w:rPr>
                <w:rFonts w:hint="eastAsia" w:ascii="宋体" w:hAnsi="宋体" w:eastAsia="宋体" w:cs="宋体"/>
                <w:b/>
                <w:bCs/>
                <w:i w:val="0"/>
                <w:iCs w:val="0"/>
                <w:color w:val="FFFFFF"/>
                <w:sz w:val="32"/>
                <w:szCs w:val="32"/>
                <w:u w:val="none"/>
              </w:rPr>
            </w:pPr>
            <w:r>
              <w:rPr>
                <w:rFonts w:hint="eastAsia" w:ascii="宋体" w:hAnsi="宋体" w:eastAsia="宋体" w:cs="宋体"/>
                <w:b/>
                <w:bCs/>
                <w:i w:val="0"/>
                <w:iCs w:val="0"/>
                <w:color w:val="FFFFFF"/>
                <w:kern w:val="0"/>
                <w:sz w:val="28"/>
                <w:szCs w:val="28"/>
                <w:u w:val="none"/>
                <w:lang w:val="en-US" w:eastAsia="zh-CN" w:bidi="ar"/>
              </w:rPr>
              <w:t>资金测算平衡情况表</w:t>
            </w:r>
          </w:p>
        </w:tc>
      </w:tr>
      <w:tr w14:paraId="73D46486">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51" w:hRule="atLeast"/>
          <w:jc w:val="center"/>
        </w:trPr>
        <w:tc>
          <w:tcPr>
            <w:tcW w:w="21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85A977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序号</w:t>
            </w:r>
          </w:p>
        </w:tc>
        <w:tc>
          <w:tcPr>
            <w:tcW w:w="850"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2A5EE1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项目名称</w:t>
            </w:r>
          </w:p>
        </w:tc>
        <w:tc>
          <w:tcPr>
            <w:tcW w:w="30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53EB4B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 合计 </w:t>
            </w:r>
          </w:p>
        </w:tc>
        <w:tc>
          <w:tcPr>
            <w:tcW w:w="3630" w:type="pct"/>
            <w:gridSpan w:val="12"/>
            <w:tcBorders>
              <w:top w:val="single" w:color="auto" w:sz="4" w:space="0"/>
              <w:left w:val="nil"/>
              <w:bottom w:val="single" w:color="auto" w:sz="4" w:space="0"/>
              <w:right w:val="single" w:color="auto" w:sz="4" w:space="0"/>
            </w:tcBorders>
            <w:shd w:val="clear" w:color="auto" w:fill="auto"/>
            <w:vAlign w:val="center"/>
          </w:tcPr>
          <w:p w14:paraId="1A7FCD4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计算期　</w:t>
            </w:r>
          </w:p>
        </w:tc>
      </w:tr>
      <w:tr w14:paraId="5E9F6C8A">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937E6DC">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850"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587423">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302"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FD1CC2C">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295" w:type="pct"/>
            <w:tcBorders>
              <w:top w:val="nil"/>
              <w:left w:val="nil"/>
              <w:bottom w:val="single" w:color="auto" w:sz="4" w:space="0"/>
              <w:right w:val="single" w:color="auto" w:sz="4" w:space="0"/>
            </w:tcBorders>
            <w:shd w:val="clear" w:color="auto" w:fill="auto"/>
            <w:vAlign w:val="center"/>
          </w:tcPr>
          <w:p w14:paraId="5339DF8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2022年10月-12月</w:t>
            </w:r>
          </w:p>
        </w:tc>
        <w:tc>
          <w:tcPr>
            <w:tcW w:w="242" w:type="pct"/>
            <w:tcBorders>
              <w:top w:val="nil"/>
              <w:left w:val="nil"/>
              <w:bottom w:val="single" w:color="auto" w:sz="4" w:space="0"/>
              <w:right w:val="single" w:color="auto" w:sz="4" w:space="0"/>
            </w:tcBorders>
            <w:shd w:val="clear" w:color="auto" w:fill="auto"/>
            <w:vAlign w:val="center"/>
          </w:tcPr>
          <w:p w14:paraId="5D82254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2023年</w:t>
            </w:r>
          </w:p>
        </w:tc>
        <w:tc>
          <w:tcPr>
            <w:tcW w:w="263" w:type="pct"/>
            <w:tcBorders>
              <w:top w:val="nil"/>
              <w:left w:val="nil"/>
              <w:bottom w:val="single" w:color="auto" w:sz="4" w:space="0"/>
              <w:right w:val="single" w:color="auto" w:sz="4" w:space="0"/>
            </w:tcBorders>
            <w:shd w:val="clear" w:color="auto" w:fill="auto"/>
            <w:vAlign w:val="center"/>
          </w:tcPr>
          <w:p w14:paraId="6BAB7F6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2024年</w:t>
            </w:r>
          </w:p>
        </w:tc>
        <w:tc>
          <w:tcPr>
            <w:tcW w:w="293" w:type="pct"/>
            <w:tcBorders>
              <w:top w:val="nil"/>
              <w:left w:val="nil"/>
              <w:bottom w:val="single" w:color="auto" w:sz="4" w:space="0"/>
              <w:right w:val="single" w:color="auto" w:sz="4" w:space="0"/>
            </w:tcBorders>
            <w:shd w:val="clear" w:color="auto" w:fill="auto"/>
            <w:vAlign w:val="center"/>
          </w:tcPr>
          <w:p w14:paraId="38CBF3F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hint="eastAsia" w:ascii="宋体" w:hAnsi="宋体" w:eastAsia="宋体" w:cs="宋体"/>
                <w:color w:val="auto"/>
                <w:sz w:val="18"/>
                <w:szCs w:val="18"/>
              </w:rPr>
            </w:pPr>
            <w:r>
              <w:rPr>
                <w:rFonts w:hint="eastAsia" w:ascii="宋体" w:hAnsi="宋体" w:eastAsia="宋体" w:cs="宋体"/>
                <w:color w:val="auto"/>
                <w:sz w:val="18"/>
                <w:szCs w:val="18"/>
              </w:rPr>
              <w:t>2025年</w:t>
            </w:r>
          </w:p>
          <w:p w14:paraId="2E64485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1月-9月</w:t>
            </w:r>
          </w:p>
        </w:tc>
        <w:tc>
          <w:tcPr>
            <w:tcW w:w="312" w:type="pct"/>
            <w:tcBorders>
              <w:top w:val="nil"/>
              <w:left w:val="nil"/>
              <w:bottom w:val="single" w:color="auto" w:sz="4" w:space="0"/>
              <w:right w:val="single" w:color="auto" w:sz="4" w:space="0"/>
            </w:tcBorders>
            <w:shd w:val="clear" w:color="auto" w:fill="auto"/>
            <w:vAlign w:val="center"/>
          </w:tcPr>
          <w:p w14:paraId="56C95EC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2025年10月</w:t>
            </w:r>
            <w:r>
              <w:rPr>
                <w:rFonts w:hint="eastAsia" w:ascii="宋体" w:hAnsi="宋体" w:eastAsia="宋体" w:cs="宋体"/>
                <w:color w:val="auto"/>
                <w:sz w:val="18"/>
                <w:szCs w:val="18"/>
                <w:lang w:val="en-US" w:eastAsia="zh-CN"/>
              </w:rPr>
              <w:t>-</w:t>
            </w:r>
            <w:r>
              <w:rPr>
                <w:rFonts w:hint="eastAsia" w:ascii="宋体" w:hAnsi="宋体" w:eastAsia="宋体" w:cs="宋体"/>
                <w:color w:val="auto"/>
                <w:sz w:val="18"/>
                <w:szCs w:val="18"/>
              </w:rPr>
              <w:t>12月</w:t>
            </w:r>
          </w:p>
        </w:tc>
        <w:tc>
          <w:tcPr>
            <w:tcW w:w="297" w:type="pct"/>
            <w:tcBorders>
              <w:top w:val="nil"/>
              <w:left w:val="nil"/>
              <w:bottom w:val="single" w:color="auto" w:sz="4" w:space="0"/>
              <w:right w:val="single" w:color="auto" w:sz="4" w:space="0"/>
            </w:tcBorders>
            <w:shd w:val="clear" w:color="auto" w:fill="auto"/>
            <w:vAlign w:val="center"/>
          </w:tcPr>
          <w:p w14:paraId="06F0E03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2026年</w:t>
            </w:r>
          </w:p>
        </w:tc>
        <w:tc>
          <w:tcPr>
            <w:tcW w:w="297" w:type="pct"/>
            <w:tcBorders>
              <w:top w:val="nil"/>
              <w:left w:val="nil"/>
              <w:bottom w:val="single" w:color="auto" w:sz="4" w:space="0"/>
              <w:right w:val="single" w:color="auto" w:sz="4" w:space="0"/>
            </w:tcBorders>
            <w:shd w:val="clear" w:color="auto" w:fill="auto"/>
            <w:vAlign w:val="center"/>
          </w:tcPr>
          <w:p w14:paraId="17C56BC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2027年</w:t>
            </w:r>
          </w:p>
        </w:tc>
        <w:tc>
          <w:tcPr>
            <w:tcW w:w="297" w:type="pct"/>
            <w:tcBorders>
              <w:top w:val="nil"/>
              <w:left w:val="nil"/>
              <w:bottom w:val="single" w:color="auto" w:sz="4" w:space="0"/>
              <w:right w:val="single" w:color="auto" w:sz="4" w:space="0"/>
            </w:tcBorders>
            <w:shd w:val="clear" w:color="auto" w:fill="auto"/>
            <w:vAlign w:val="center"/>
          </w:tcPr>
          <w:p w14:paraId="32D15F5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2028年</w:t>
            </w:r>
          </w:p>
        </w:tc>
        <w:tc>
          <w:tcPr>
            <w:tcW w:w="297" w:type="pct"/>
            <w:tcBorders>
              <w:top w:val="nil"/>
              <w:left w:val="nil"/>
              <w:bottom w:val="single" w:color="auto" w:sz="4" w:space="0"/>
              <w:right w:val="single" w:color="auto" w:sz="4" w:space="0"/>
            </w:tcBorders>
            <w:shd w:val="clear" w:color="auto" w:fill="auto"/>
            <w:vAlign w:val="center"/>
          </w:tcPr>
          <w:p w14:paraId="0B16B24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2029年</w:t>
            </w:r>
          </w:p>
        </w:tc>
        <w:tc>
          <w:tcPr>
            <w:tcW w:w="297" w:type="pct"/>
            <w:tcBorders>
              <w:top w:val="nil"/>
              <w:left w:val="nil"/>
              <w:bottom w:val="single" w:color="auto" w:sz="4" w:space="0"/>
              <w:right w:val="single" w:color="auto" w:sz="4" w:space="0"/>
            </w:tcBorders>
            <w:shd w:val="clear" w:color="auto" w:fill="auto"/>
            <w:vAlign w:val="center"/>
          </w:tcPr>
          <w:p w14:paraId="3C91C86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2030年</w:t>
            </w:r>
          </w:p>
        </w:tc>
        <w:tc>
          <w:tcPr>
            <w:tcW w:w="297" w:type="pct"/>
            <w:tcBorders>
              <w:top w:val="nil"/>
              <w:left w:val="nil"/>
              <w:bottom w:val="single" w:color="auto" w:sz="4" w:space="0"/>
              <w:right w:val="single" w:color="auto" w:sz="4" w:space="0"/>
            </w:tcBorders>
            <w:shd w:val="clear" w:color="auto" w:fill="auto"/>
            <w:vAlign w:val="center"/>
          </w:tcPr>
          <w:p w14:paraId="7C1E210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2031年</w:t>
            </w:r>
          </w:p>
        </w:tc>
        <w:tc>
          <w:tcPr>
            <w:tcW w:w="442" w:type="pct"/>
            <w:tcBorders>
              <w:top w:val="nil"/>
              <w:left w:val="nil"/>
              <w:bottom w:val="single" w:color="auto" w:sz="4" w:space="0"/>
              <w:right w:val="single" w:color="auto" w:sz="4" w:space="0"/>
            </w:tcBorders>
            <w:shd w:val="clear" w:color="auto" w:fill="auto"/>
            <w:vAlign w:val="center"/>
          </w:tcPr>
          <w:p w14:paraId="30D2A3A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2032年</w:t>
            </w:r>
          </w:p>
        </w:tc>
      </w:tr>
      <w:tr w14:paraId="25167187">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21"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7BFAB20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w:t>
            </w:r>
          </w:p>
        </w:tc>
        <w:tc>
          <w:tcPr>
            <w:tcW w:w="850" w:type="pct"/>
            <w:tcBorders>
              <w:top w:val="nil"/>
              <w:left w:val="nil"/>
              <w:bottom w:val="single" w:color="auto" w:sz="4" w:space="0"/>
              <w:right w:val="single" w:color="auto" w:sz="4" w:space="0"/>
            </w:tcBorders>
            <w:shd w:val="clear" w:color="auto" w:fill="auto"/>
            <w:vAlign w:val="center"/>
          </w:tcPr>
          <w:p w14:paraId="12843FF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项目收入</w:t>
            </w:r>
          </w:p>
        </w:tc>
        <w:tc>
          <w:tcPr>
            <w:tcW w:w="302" w:type="pct"/>
            <w:tcBorders>
              <w:top w:val="nil"/>
              <w:left w:val="single" w:color="auto" w:sz="4" w:space="0"/>
              <w:bottom w:val="single" w:color="auto" w:sz="4" w:space="0"/>
              <w:right w:val="single" w:color="auto" w:sz="4" w:space="0"/>
            </w:tcBorders>
            <w:shd w:val="clear" w:color="auto" w:fill="auto"/>
            <w:vAlign w:val="center"/>
          </w:tcPr>
          <w:p w14:paraId="0066F86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92,301.33 </w:t>
            </w:r>
          </w:p>
        </w:tc>
        <w:tc>
          <w:tcPr>
            <w:tcW w:w="295" w:type="pct"/>
            <w:tcBorders>
              <w:top w:val="nil"/>
              <w:left w:val="nil"/>
              <w:bottom w:val="single" w:color="auto" w:sz="4" w:space="0"/>
              <w:right w:val="single" w:color="auto" w:sz="4" w:space="0"/>
            </w:tcBorders>
            <w:shd w:val="clear" w:color="auto" w:fill="auto"/>
            <w:vAlign w:val="center"/>
          </w:tcPr>
          <w:p w14:paraId="21B42C9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01C1E3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0967EFE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4E4835D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28723CF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672.84 </w:t>
            </w:r>
          </w:p>
        </w:tc>
        <w:tc>
          <w:tcPr>
            <w:tcW w:w="297" w:type="pct"/>
            <w:tcBorders>
              <w:top w:val="nil"/>
              <w:left w:val="nil"/>
              <w:bottom w:val="single" w:color="auto" w:sz="4" w:space="0"/>
              <w:right w:val="single" w:color="auto" w:sz="4" w:space="0"/>
            </w:tcBorders>
            <w:shd w:val="clear" w:color="auto" w:fill="auto"/>
            <w:vAlign w:val="center"/>
          </w:tcPr>
          <w:p w14:paraId="07E4B78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2,692.28 </w:t>
            </w:r>
          </w:p>
        </w:tc>
        <w:tc>
          <w:tcPr>
            <w:tcW w:w="297" w:type="pct"/>
            <w:tcBorders>
              <w:top w:val="nil"/>
              <w:left w:val="nil"/>
              <w:bottom w:val="single" w:color="auto" w:sz="4" w:space="0"/>
              <w:right w:val="single" w:color="auto" w:sz="4" w:space="0"/>
            </w:tcBorders>
            <w:shd w:val="clear" w:color="auto" w:fill="auto"/>
            <w:vAlign w:val="center"/>
          </w:tcPr>
          <w:p w14:paraId="7181DD4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3,183.48 </w:t>
            </w:r>
          </w:p>
        </w:tc>
        <w:tc>
          <w:tcPr>
            <w:tcW w:w="297" w:type="pct"/>
            <w:tcBorders>
              <w:top w:val="nil"/>
              <w:left w:val="nil"/>
              <w:bottom w:val="single" w:color="auto" w:sz="4" w:space="0"/>
              <w:right w:val="single" w:color="auto" w:sz="4" w:space="0"/>
            </w:tcBorders>
            <w:shd w:val="clear" w:color="auto" w:fill="auto"/>
            <w:vAlign w:val="center"/>
          </w:tcPr>
          <w:p w14:paraId="178E714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3,692.48 </w:t>
            </w:r>
          </w:p>
        </w:tc>
        <w:tc>
          <w:tcPr>
            <w:tcW w:w="297" w:type="pct"/>
            <w:tcBorders>
              <w:top w:val="nil"/>
              <w:left w:val="nil"/>
              <w:bottom w:val="single" w:color="auto" w:sz="4" w:space="0"/>
              <w:right w:val="single" w:color="auto" w:sz="4" w:space="0"/>
            </w:tcBorders>
            <w:shd w:val="clear" w:color="auto" w:fill="auto"/>
            <w:vAlign w:val="center"/>
          </w:tcPr>
          <w:p w14:paraId="543C6A5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4,206.44 </w:t>
            </w:r>
          </w:p>
        </w:tc>
        <w:tc>
          <w:tcPr>
            <w:tcW w:w="297" w:type="pct"/>
            <w:tcBorders>
              <w:top w:val="nil"/>
              <w:left w:val="nil"/>
              <w:bottom w:val="single" w:color="auto" w:sz="4" w:space="0"/>
              <w:right w:val="single" w:color="auto" w:sz="4" w:space="0"/>
            </w:tcBorders>
            <w:shd w:val="clear" w:color="auto" w:fill="auto"/>
            <w:vAlign w:val="center"/>
          </w:tcPr>
          <w:p w14:paraId="1CFBBF7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4,513.23 </w:t>
            </w:r>
          </w:p>
        </w:tc>
        <w:tc>
          <w:tcPr>
            <w:tcW w:w="297" w:type="pct"/>
            <w:tcBorders>
              <w:top w:val="nil"/>
              <w:left w:val="nil"/>
              <w:bottom w:val="single" w:color="auto" w:sz="4" w:space="0"/>
              <w:right w:val="single" w:color="auto" w:sz="4" w:space="0"/>
            </w:tcBorders>
            <w:shd w:val="clear" w:color="auto" w:fill="auto"/>
            <w:vAlign w:val="center"/>
          </w:tcPr>
          <w:p w14:paraId="100BF01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4,613.67 </w:t>
            </w:r>
          </w:p>
        </w:tc>
        <w:tc>
          <w:tcPr>
            <w:tcW w:w="442" w:type="pct"/>
            <w:tcBorders>
              <w:top w:val="nil"/>
              <w:left w:val="nil"/>
              <w:bottom w:val="single" w:color="auto" w:sz="4" w:space="0"/>
              <w:right w:val="single" w:color="auto" w:sz="4" w:space="0"/>
            </w:tcBorders>
            <w:shd w:val="clear" w:color="auto" w:fill="auto"/>
            <w:vAlign w:val="center"/>
          </w:tcPr>
          <w:p w14:paraId="4900CC7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4,702.27 </w:t>
            </w:r>
          </w:p>
        </w:tc>
      </w:tr>
      <w:tr w14:paraId="2C07B272">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41"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29224C2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w:t>
            </w:r>
          </w:p>
        </w:tc>
        <w:tc>
          <w:tcPr>
            <w:tcW w:w="850" w:type="pct"/>
            <w:tcBorders>
              <w:top w:val="nil"/>
              <w:left w:val="nil"/>
              <w:bottom w:val="single" w:color="auto" w:sz="4" w:space="0"/>
              <w:right w:val="single" w:color="auto" w:sz="4" w:space="0"/>
            </w:tcBorders>
            <w:shd w:val="clear" w:color="auto" w:fill="auto"/>
            <w:vAlign w:val="center"/>
          </w:tcPr>
          <w:p w14:paraId="4703479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项目运营成本及税费支出</w:t>
            </w:r>
          </w:p>
        </w:tc>
        <w:tc>
          <w:tcPr>
            <w:tcW w:w="302" w:type="pct"/>
            <w:tcBorders>
              <w:top w:val="nil"/>
              <w:left w:val="single" w:color="auto" w:sz="4" w:space="0"/>
              <w:bottom w:val="single" w:color="auto" w:sz="4" w:space="0"/>
              <w:right w:val="single" w:color="auto" w:sz="4" w:space="0"/>
            </w:tcBorders>
            <w:shd w:val="clear" w:color="auto" w:fill="auto"/>
            <w:vAlign w:val="center"/>
          </w:tcPr>
          <w:p w14:paraId="537B74B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24,543.97 </w:t>
            </w:r>
          </w:p>
        </w:tc>
        <w:tc>
          <w:tcPr>
            <w:tcW w:w="295" w:type="pct"/>
            <w:tcBorders>
              <w:top w:val="nil"/>
              <w:left w:val="nil"/>
              <w:bottom w:val="single" w:color="auto" w:sz="4" w:space="0"/>
              <w:right w:val="single" w:color="auto" w:sz="4" w:space="0"/>
            </w:tcBorders>
            <w:shd w:val="clear" w:color="auto" w:fill="auto"/>
            <w:vAlign w:val="center"/>
          </w:tcPr>
          <w:p w14:paraId="79F7539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454CDDB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6CBF714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07D97CD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34175AD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173.90 </w:t>
            </w:r>
          </w:p>
        </w:tc>
        <w:tc>
          <w:tcPr>
            <w:tcW w:w="297" w:type="pct"/>
            <w:tcBorders>
              <w:top w:val="nil"/>
              <w:left w:val="nil"/>
              <w:bottom w:val="single" w:color="auto" w:sz="4" w:space="0"/>
              <w:right w:val="single" w:color="auto" w:sz="4" w:space="0"/>
            </w:tcBorders>
            <w:shd w:val="clear" w:color="auto" w:fill="auto"/>
            <w:vAlign w:val="center"/>
          </w:tcPr>
          <w:p w14:paraId="7286D95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695.61 </w:t>
            </w:r>
          </w:p>
        </w:tc>
        <w:tc>
          <w:tcPr>
            <w:tcW w:w="297" w:type="pct"/>
            <w:tcBorders>
              <w:top w:val="nil"/>
              <w:left w:val="nil"/>
              <w:bottom w:val="single" w:color="auto" w:sz="4" w:space="0"/>
              <w:right w:val="single" w:color="auto" w:sz="4" w:space="0"/>
            </w:tcBorders>
            <w:shd w:val="clear" w:color="auto" w:fill="auto"/>
            <w:vAlign w:val="center"/>
          </w:tcPr>
          <w:p w14:paraId="5A77977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737.81 </w:t>
            </w:r>
          </w:p>
        </w:tc>
        <w:tc>
          <w:tcPr>
            <w:tcW w:w="297" w:type="pct"/>
            <w:tcBorders>
              <w:top w:val="nil"/>
              <w:left w:val="nil"/>
              <w:bottom w:val="single" w:color="auto" w:sz="4" w:space="0"/>
              <w:right w:val="single" w:color="auto" w:sz="4" w:space="0"/>
            </w:tcBorders>
            <w:shd w:val="clear" w:color="auto" w:fill="auto"/>
            <w:vAlign w:val="center"/>
          </w:tcPr>
          <w:p w14:paraId="483F35C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781.56 </w:t>
            </w:r>
          </w:p>
        </w:tc>
        <w:tc>
          <w:tcPr>
            <w:tcW w:w="297" w:type="pct"/>
            <w:tcBorders>
              <w:top w:val="nil"/>
              <w:left w:val="nil"/>
              <w:bottom w:val="single" w:color="auto" w:sz="4" w:space="0"/>
              <w:right w:val="single" w:color="auto" w:sz="4" w:space="0"/>
            </w:tcBorders>
            <w:shd w:val="clear" w:color="auto" w:fill="auto"/>
            <w:vAlign w:val="center"/>
          </w:tcPr>
          <w:p w14:paraId="492DB8A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826.84 </w:t>
            </w:r>
          </w:p>
        </w:tc>
        <w:tc>
          <w:tcPr>
            <w:tcW w:w="297" w:type="pct"/>
            <w:tcBorders>
              <w:top w:val="nil"/>
              <w:left w:val="nil"/>
              <w:bottom w:val="single" w:color="auto" w:sz="4" w:space="0"/>
              <w:right w:val="single" w:color="auto" w:sz="4" w:space="0"/>
            </w:tcBorders>
            <w:shd w:val="clear" w:color="auto" w:fill="auto"/>
            <w:vAlign w:val="center"/>
          </w:tcPr>
          <w:p w14:paraId="4E40A09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856.49 </w:t>
            </w:r>
          </w:p>
        </w:tc>
        <w:tc>
          <w:tcPr>
            <w:tcW w:w="297" w:type="pct"/>
            <w:tcBorders>
              <w:top w:val="nil"/>
              <w:left w:val="nil"/>
              <w:bottom w:val="single" w:color="auto" w:sz="4" w:space="0"/>
              <w:right w:val="single" w:color="auto" w:sz="4" w:space="0"/>
            </w:tcBorders>
            <w:shd w:val="clear" w:color="auto" w:fill="auto"/>
            <w:vAlign w:val="center"/>
          </w:tcPr>
          <w:p w14:paraId="22BC745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869.61 </w:t>
            </w:r>
          </w:p>
        </w:tc>
        <w:tc>
          <w:tcPr>
            <w:tcW w:w="442" w:type="pct"/>
            <w:tcBorders>
              <w:top w:val="nil"/>
              <w:left w:val="nil"/>
              <w:bottom w:val="single" w:color="auto" w:sz="4" w:space="0"/>
              <w:right w:val="single" w:color="auto" w:sz="4" w:space="0"/>
            </w:tcBorders>
            <w:shd w:val="clear" w:color="auto" w:fill="auto"/>
            <w:vAlign w:val="center"/>
          </w:tcPr>
          <w:p w14:paraId="37FC83E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882.99 </w:t>
            </w:r>
          </w:p>
        </w:tc>
      </w:tr>
      <w:tr w14:paraId="2689F86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6AF6F0D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w:t>
            </w:r>
          </w:p>
        </w:tc>
        <w:tc>
          <w:tcPr>
            <w:tcW w:w="850" w:type="pct"/>
            <w:tcBorders>
              <w:top w:val="nil"/>
              <w:left w:val="nil"/>
              <w:bottom w:val="single" w:color="auto" w:sz="4" w:space="0"/>
              <w:right w:val="single" w:color="auto" w:sz="4" w:space="0"/>
            </w:tcBorders>
            <w:shd w:val="clear" w:color="auto" w:fill="auto"/>
            <w:vAlign w:val="center"/>
          </w:tcPr>
          <w:p w14:paraId="2107D72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项目可用于归还借款本息的资金</w:t>
            </w:r>
          </w:p>
        </w:tc>
        <w:tc>
          <w:tcPr>
            <w:tcW w:w="302" w:type="pct"/>
            <w:tcBorders>
              <w:top w:val="nil"/>
              <w:left w:val="single" w:color="auto" w:sz="4" w:space="0"/>
              <w:bottom w:val="single" w:color="auto" w:sz="4" w:space="0"/>
              <w:right w:val="single" w:color="auto" w:sz="4" w:space="0"/>
            </w:tcBorders>
            <w:shd w:val="clear" w:color="auto" w:fill="auto"/>
            <w:vAlign w:val="center"/>
          </w:tcPr>
          <w:p w14:paraId="65D9C32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67,757.36 </w:t>
            </w:r>
          </w:p>
        </w:tc>
        <w:tc>
          <w:tcPr>
            <w:tcW w:w="295" w:type="pct"/>
            <w:tcBorders>
              <w:top w:val="nil"/>
              <w:left w:val="nil"/>
              <w:bottom w:val="single" w:color="auto" w:sz="4" w:space="0"/>
              <w:right w:val="single" w:color="auto" w:sz="4" w:space="0"/>
            </w:tcBorders>
            <w:shd w:val="clear" w:color="auto" w:fill="auto"/>
            <w:vAlign w:val="center"/>
          </w:tcPr>
          <w:p w14:paraId="5955718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524B2B1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3E55B7E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75D1A4B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59E845D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498.94 </w:t>
            </w:r>
          </w:p>
        </w:tc>
        <w:tc>
          <w:tcPr>
            <w:tcW w:w="297" w:type="pct"/>
            <w:tcBorders>
              <w:top w:val="nil"/>
              <w:left w:val="nil"/>
              <w:bottom w:val="single" w:color="auto" w:sz="4" w:space="0"/>
              <w:right w:val="single" w:color="auto" w:sz="4" w:space="0"/>
            </w:tcBorders>
            <w:shd w:val="clear" w:color="auto" w:fill="auto"/>
            <w:vAlign w:val="center"/>
          </w:tcPr>
          <w:p w14:paraId="7650AA3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1,996.67 </w:t>
            </w:r>
          </w:p>
        </w:tc>
        <w:tc>
          <w:tcPr>
            <w:tcW w:w="297" w:type="pct"/>
            <w:tcBorders>
              <w:top w:val="nil"/>
              <w:left w:val="nil"/>
              <w:bottom w:val="single" w:color="auto" w:sz="4" w:space="0"/>
              <w:right w:val="single" w:color="auto" w:sz="4" w:space="0"/>
            </w:tcBorders>
            <w:shd w:val="clear" w:color="auto" w:fill="auto"/>
            <w:vAlign w:val="center"/>
          </w:tcPr>
          <w:p w14:paraId="0540C23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2,445.67 </w:t>
            </w:r>
          </w:p>
        </w:tc>
        <w:tc>
          <w:tcPr>
            <w:tcW w:w="297" w:type="pct"/>
            <w:tcBorders>
              <w:top w:val="nil"/>
              <w:left w:val="nil"/>
              <w:bottom w:val="single" w:color="auto" w:sz="4" w:space="0"/>
              <w:right w:val="single" w:color="auto" w:sz="4" w:space="0"/>
            </w:tcBorders>
            <w:shd w:val="clear" w:color="auto" w:fill="auto"/>
            <w:vAlign w:val="center"/>
          </w:tcPr>
          <w:p w14:paraId="18848D0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2,910.91 </w:t>
            </w:r>
          </w:p>
        </w:tc>
        <w:tc>
          <w:tcPr>
            <w:tcW w:w="297" w:type="pct"/>
            <w:tcBorders>
              <w:top w:val="nil"/>
              <w:left w:val="nil"/>
              <w:bottom w:val="single" w:color="auto" w:sz="4" w:space="0"/>
              <w:right w:val="single" w:color="auto" w:sz="4" w:space="0"/>
            </w:tcBorders>
            <w:shd w:val="clear" w:color="auto" w:fill="auto"/>
            <w:vAlign w:val="center"/>
          </w:tcPr>
          <w:p w14:paraId="19D9131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3,379.61 </w:t>
            </w:r>
          </w:p>
        </w:tc>
        <w:tc>
          <w:tcPr>
            <w:tcW w:w="297" w:type="pct"/>
            <w:tcBorders>
              <w:top w:val="nil"/>
              <w:left w:val="nil"/>
              <w:bottom w:val="single" w:color="auto" w:sz="4" w:space="0"/>
              <w:right w:val="single" w:color="auto" w:sz="4" w:space="0"/>
            </w:tcBorders>
            <w:shd w:val="clear" w:color="auto" w:fill="auto"/>
            <w:vAlign w:val="center"/>
          </w:tcPr>
          <w:p w14:paraId="3163048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3,656.74 </w:t>
            </w:r>
          </w:p>
        </w:tc>
        <w:tc>
          <w:tcPr>
            <w:tcW w:w="297" w:type="pct"/>
            <w:tcBorders>
              <w:top w:val="nil"/>
              <w:left w:val="nil"/>
              <w:bottom w:val="single" w:color="auto" w:sz="4" w:space="0"/>
              <w:right w:val="single" w:color="auto" w:sz="4" w:space="0"/>
            </w:tcBorders>
            <w:shd w:val="clear" w:color="auto" w:fill="auto"/>
            <w:vAlign w:val="center"/>
          </w:tcPr>
          <w:p w14:paraId="2138F83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3,744.06 </w:t>
            </w:r>
          </w:p>
        </w:tc>
        <w:tc>
          <w:tcPr>
            <w:tcW w:w="442" w:type="pct"/>
            <w:tcBorders>
              <w:top w:val="nil"/>
              <w:left w:val="nil"/>
              <w:bottom w:val="single" w:color="auto" w:sz="4" w:space="0"/>
              <w:right w:val="single" w:color="auto" w:sz="4" w:space="0"/>
            </w:tcBorders>
            <w:shd w:val="clear" w:color="auto" w:fill="auto"/>
            <w:vAlign w:val="center"/>
          </w:tcPr>
          <w:p w14:paraId="045541B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3,819.28 </w:t>
            </w:r>
          </w:p>
        </w:tc>
      </w:tr>
      <w:tr w14:paraId="3F9B458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2A41421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3.1.1</w:t>
            </w:r>
          </w:p>
        </w:tc>
        <w:tc>
          <w:tcPr>
            <w:tcW w:w="850" w:type="pct"/>
            <w:tcBorders>
              <w:top w:val="nil"/>
              <w:left w:val="nil"/>
              <w:bottom w:val="single" w:color="auto" w:sz="4" w:space="0"/>
              <w:right w:val="single" w:color="auto" w:sz="4" w:space="0"/>
            </w:tcBorders>
            <w:shd w:val="clear" w:color="auto" w:fill="auto"/>
            <w:vAlign w:val="center"/>
          </w:tcPr>
          <w:p w14:paraId="73B1BED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可用于归还专项债券本息的资金</w:t>
            </w:r>
          </w:p>
        </w:tc>
        <w:tc>
          <w:tcPr>
            <w:tcW w:w="302" w:type="pct"/>
            <w:tcBorders>
              <w:top w:val="nil"/>
              <w:left w:val="single" w:color="auto" w:sz="4" w:space="0"/>
              <w:bottom w:val="single" w:color="auto" w:sz="4" w:space="0"/>
              <w:right w:val="single" w:color="auto" w:sz="4" w:space="0"/>
            </w:tcBorders>
            <w:shd w:val="clear" w:color="auto" w:fill="auto"/>
            <w:vAlign w:val="center"/>
          </w:tcPr>
          <w:p w14:paraId="25E01BC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67,757.36 </w:t>
            </w:r>
          </w:p>
        </w:tc>
        <w:tc>
          <w:tcPr>
            <w:tcW w:w="295" w:type="pct"/>
            <w:tcBorders>
              <w:top w:val="nil"/>
              <w:left w:val="nil"/>
              <w:bottom w:val="single" w:color="auto" w:sz="4" w:space="0"/>
              <w:right w:val="single" w:color="auto" w:sz="4" w:space="0"/>
            </w:tcBorders>
            <w:shd w:val="clear" w:color="auto" w:fill="auto"/>
            <w:vAlign w:val="center"/>
          </w:tcPr>
          <w:p w14:paraId="0C9698B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39721CC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262FDD2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0EA1313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669C1BF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498.94 </w:t>
            </w:r>
          </w:p>
        </w:tc>
        <w:tc>
          <w:tcPr>
            <w:tcW w:w="297" w:type="pct"/>
            <w:tcBorders>
              <w:top w:val="nil"/>
              <w:left w:val="nil"/>
              <w:bottom w:val="single" w:color="auto" w:sz="4" w:space="0"/>
              <w:right w:val="single" w:color="auto" w:sz="4" w:space="0"/>
            </w:tcBorders>
            <w:shd w:val="clear" w:color="auto" w:fill="auto"/>
            <w:vAlign w:val="center"/>
          </w:tcPr>
          <w:p w14:paraId="2243EB7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1,996.67 </w:t>
            </w:r>
          </w:p>
        </w:tc>
        <w:tc>
          <w:tcPr>
            <w:tcW w:w="297" w:type="pct"/>
            <w:tcBorders>
              <w:top w:val="nil"/>
              <w:left w:val="nil"/>
              <w:bottom w:val="single" w:color="auto" w:sz="4" w:space="0"/>
              <w:right w:val="single" w:color="auto" w:sz="4" w:space="0"/>
            </w:tcBorders>
            <w:shd w:val="clear" w:color="auto" w:fill="auto"/>
            <w:vAlign w:val="center"/>
          </w:tcPr>
          <w:p w14:paraId="4A4521C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2,445.67 </w:t>
            </w:r>
          </w:p>
        </w:tc>
        <w:tc>
          <w:tcPr>
            <w:tcW w:w="297" w:type="pct"/>
            <w:tcBorders>
              <w:top w:val="nil"/>
              <w:left w:val="nil"/>
              <w:bottom w:val="single" w:color="auto" w:sz="4" w:space="0"/>
              <w:right w:val="single" w:color="auto" w:sz="4" w:space="0"/>
            </w:tcBorders>
            <w:shd w:val="clear" w:color="auto" w:fill="auto"/>
            <w:vAlign w:val="center"/>
          </w:tcPr>
          <w:p w14:paraId="164399B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2,910.91 </w:t>
            </w:r>
          </w:p>
        </w:tc>
        <w:tc>
          <w:tcPr>
            <w:tcW w:w="297" w:type="pct"/>
            <w:tcBorders>
              <w:top w:val="nil"/>
              <w:left w:val="nil"/>
              <w:bottom w:val="single" w:color="auto" w:sz="4" w:space="0"/>
              <w:right w:val="single" w:color="auto" w:sz="4" w:space="0"/>
            </w:tcBorders>
            <w:shd w:val="clear" w:color="auto" w:fill="auto"/>
            <w:vAlign w:val="center"/>
          </w:tcPr>
          <w:p w14:paraId="58F2665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3,379.61 </w:t>
            </w:r>
          </w:p>
        </w:tc>
        <w:tc>
          <w:tcPr>
            <w:tcW w:w="297" w:type="pct"/>
            <w:tcBorders>
              <w:top w:val="nil"/>
              <w:left w:val="nil"/>
              <w:bottom w:val="single" w:color="auto" w:sz="4" w:space="0"/>
              <w:right w:val="single" w:color="auto" w:sz="4" w:space="0"/>
            </w:tcBorders>
            <w:shd w:val="clear" w:color="auto" w:fill="auto"/>
            <w:vAlign w:val="center"/>
          </w:tcPr>
          <w:p w14:paraId="009287E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3,656.74 </w:t>
            </w:r>
          </w:p>
        </w:tc>
        <w:tc>
          <w:tcPr>
            <w:tcW w:w="297" w:type="pct"/>
            <w:tcBorders>
              <w:top w:val="nil"/>
              <w:left w:val="nil"/>
              <w:bottom w:val="single" w:color="auto" w:sz="4" w:space="0"/>
              <w:right w:val="single" w:color="auto" w:sz="4" w:space="0"/>
            </w:tcBorders>
            <w:shd w:val="clear" w:color="auto" w:fill="auto"/>
            <w:vAlign w:val="center"/>
          </w:tcPr>
          <w:p w14:paraId="05A8B3C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3,744.06 </w:t>
            </w:r>
          </w:p>
        </w:tc>
        <w:tc>
          <w:tcPr>
            <w:tcW w:w="442" w:type="pct"/>
            <w:tcBorders>
              <w:top w:val="nil"/>
              <w:left w:val="nil"/>
              <w:bottom w:val="single" w:color="auto" w:sz="4" w:space="0"/>
              <w:right w:val="single" w:color="auto" w:sz="4" w:space="0"/>
            </w:tcBorders>
            <w:shd w:val="clear" w:color="auto" w:fill="auto"/>
            <w:vAlign w:val="center"/>
          </w:tcPr>
          <w:p w14:paraId="58C11C8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3,819.28 </w:t>
            </w:r>
          </w:p>
        </w:tc>
      </w:tr>
      <w:tr w14:paraId="61C797A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778DD34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3.1.2</w:t>
            </w:r>
          </w:p>
        </w:tc>
        <w:tc>
          <w:tcPr>
            <w:tcW w:w="850" w:type="pct"/>
            <w:tcBorders>
              <w:top w:val="nil"/>
              <w:left w:val="nil"/>
              <w:bottom w:val="single" w:color="auto" w:sz="4" w:space="0"/>
              <w:right w:val="single" w:color="auto" w:sz="4" w:space="0"/>
            </w:tcBorders>
            <w:shd w:val="clear" w:color="auto" w:fill="auto"/>
            <w:vAlign w:val="center"/>
          </w:tcPr>
          <w:p w14:paraId="23CE0F3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可归还专项债券本息资金占比（%）</w:t>
            </w:r>
          </w:p>
        </w:tc>
        <w:tc>
          <w:tcPr>
            <w:tcW w:w="302" w:type="pct"/>
            <w:tcBorders>
              <w:top w:val="nil"/>
              <w:left w:val="single" w:color="auto" w:sz="4" w:space="0"/>
              <w:bottom w:val="single" w:color="auto" w:sz="4" w:space="0"/>
              <w:right w:val="single" w:color="auto" w:sz="4" w:space="0"/>
            </w:tcBorders>
            <w:shd w:val="clear" w:color="auto" w:fill="auto"/>
            <w:vAlign w:val="center"/>
          </w:tcPr>
          <w:p w14:paraId="4D687F8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5" w:type="pct"/>
            <w:tcBorders>
              <w:top w:val="nil"/>
              <w:left w:val="nil"/>
              <w:bottom w:val="single" w:color="auto" w:sz="4" w:space="0"/>
              <w:right w:val="single" w:color="auto" w:sz="4" w:space="0"/>
            </w:tcBorders>
            <w:shd w:val="clear" w:color="auto" w:fill="auto"/>
            <w:vAlign w:val="center"/>
          </w:tcPr>
          <w:p w14:paraId="595BE99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42" w:type="pct"/>
            <w:tcBorders>
              <w:top w:val="nil"/>
              <w:left w:val="nil"/>
              <w:bottom w:val="single" w:color="auto" w:sz="4" w:space="0"/>
              <w:right w:val="single" w:color="auto" w:sz="4" w:space="0"/>
            </w:tcBorders>
            <w:shd w:val="clear" w:color="auto" w:fill="auto"/>
            <w:vAlign w:val="center"/>
          </w:tcPr>
          <w:p w14:paraId="13D82D9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63" w:type="pct"/>
            <w:tcBorders>
              <w:top w:val="nil"/>
              <w:left w:val="nil"/>
              <w:bottom w:val="single" w:color="auto" w:sz="4" w:space="0"/>
              <w:right w:val="single" w:color="auto" w:sz="4" w:space="0"/>
            </w:tcBorders>
            <w:shd w:val="clear" w:color="auto" w:fill="auto"/>
            <w:vAlign w:val="center"/>
          </w:tcPr>
          <w:p w14:paraId="19D97C2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3" w:type="pct"/>
            <w:tcBorders>
              <w:top w:val="nil"/>
              <w:left w:val="nil"/>
              <w:bottom w:val="single" w:color="auto" w:sz="4" w:space="0"/>
              <w:right w:val="single" w:color="auto" w:sz="4" w:space="0"/>
            </w:tcBorders>
            <w:shd w:val="clear" w:color="auto" w:fill="auto"/>
            <w:vAlign w:val="center"/>
          </w:tcPr>
          <w:p w14:paraId="7150492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312" w:type="pct"/>
            <w:tcBorders>
              <w:top w:val="nil"/>
              <w:left w:val="nil"/>
              <w:bottom w:val="single" w:color="auto" w:sz="4" w:space="0"/>
              <w:right w:val="single" w:color="auto" w:sz="4" w:space="0"/>
            </w:tcBorders>
            <w:shd w:val="clear" w:color="auto" w:fill="auto"/>
            <w:vAlign w:val="center"/>
          </w:tcPr>
          <w:p w14:paraId="680458D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6DB68B5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44BCE9C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76C986A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15A7CA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132682C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7" w:type="pct"/>
            <w:tcBorders>
              <w:top w:val="nil"/>
              <w:left w:val="nil"/>
              <w:bottom w:val="single" w:color="auto" w:sz="4" w:space="0"/>
              <w:right w:val="single" w:color="auto" w:sz="4" w:space="0"/>
            </w:tcBorders>
            <w:shd w:val="clear" w:color="auto" w:fill="auto"/>
            <w:vAlign w:val="center"/>
          </w:tcPr>
          <w:p w14:paraId="368FD87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442" w:type="pct"/>
            <w:tcBorders>
              <w:top w:val="nil"/>
              <w:left w:val="nil"/>
              <w:bottom w:val="single" w:color="auto" w:sz="4" w:space="0"/>
              <w:right w:val="single" w:color="auto" w:sz="4" w:space="0"/>
            </w:tcBorders>
            <w:shd w:val="clear" w:color="auto" w:fill="auto"/>
            <w:vAlign w:val="center"/>
          </w:tcPr>
          <w:p w14:paraId="3F8CD7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r>
      <w:tr w14:paraId="6418A230">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18CCB72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3.2.1</w:t>
            </w:r>
          </w:p>
        </w:tc>
        <w:tc>
          <w:tcPr>
            <w:tcW w:w="850" w:type="pct"/>
            <w:tcBorders>
              <w:top w:val="nil"/>
              <w:left w:val="nil"/>
              <w:bottom w:val="single" w:color="auto" w:sz="4" w:space="0"/>
              <w:right w:val="single" w:color="auto" w:sz="4" w:space="0"/>
            </w:tcBorders>
            <w:shd w:val="clear" w:color="auto" w:fill="auto"/>
            <w:vAlign w:val="center"/>
          </w:tcPr>
          <w:p w14:paraId="60E833D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可用于归还市场融资本息的资金</w:t>
            </w:r>
          </w:p>
        </w:tc>
        <w:tc>
          <w:tcPr>
            <w:tcW w:w="302" w:type="pct"/>
            <w:tcBorders>
              <w:top w:val="nil"/>
              <w:left w:val="single" w:color="auto" w:sz="4" w:space="0"/>
              <w:bottom w:val="single" w:color="auto" w:sz="4" w:space="0"/>
              <w:right w:val="single" w:color="auto" w:sz="4" w:space="0"/>
            </w:tcBorders>
            <w:shd w:val="clear" w:color="auto" w:fill="auto"/>
            <w:vAlign w:val="center"/>
          </w:tcPr>
          <w:p w14:paraId="7364290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5" w:type="pct"/>
            <w:tcBorders>
              <w:top w:val="nil"/>
              <w:left w:val="nil"/>
              <w:bottom w:val="single" w:color="auto" w:sz="4" w:space="0"/>
              <w:right w:val="single" w:color="auto" w:sz="4" w:space="0"/>
            </w:tcBorders>
            <w:shd w:val="clear" w:color="auto" w:fill="auto"/>
            <w:vAlign w:val="center"/>
          </w:tcPr>
          <w:p w14:paraId="6362263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0B8366B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55FFA9B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2A35FDD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6A87225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5C5ED85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62D153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AB05E2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2C35E29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7E8B309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0D3A48C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442" w:type="pct"/>
            <w:tcBorders>
              <w:top w:val="nil"/>
              <w:left w:val="nil"/>
              <w:bottom w:val="single" w:color="auto" w:sz="4" w:space="0"/>
              <w:right w:val="single" w:color="auto" w:sz="4" w:space="0"/>
            </w:tcBorders>
            <w:shd w:val="clear" w:color="auto" w:fill="auto"/>
            <w:vAlign w:val="center"/>
          </w:tcPr>
          <w:p w14:paraId="2927BFF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4183A47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608"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765C75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3.2.2</w:t>
            </w:r>
          </w:p>
        </w:tc>
        <w:tc>
          <w:tcPr>
            <w:tcW w:w="850" w:type="pct"/>
            <w:tcBorders>
              <w:top w:val="nil"/>
              <w:left w:val="nil"/>
              <w:bottom w:val="single" w:color="auto" w:sz="4" w:space="0"/>
              <w:right w:val="single" w:color="auto" w:sz="4" w:space="0"/>
            </w:tcBorders>
            <w:shd w:val="clear" w:color="auto" w:fill="auto"/>
            <w:vAlign w:val="center"/>
          </w:tcPr>
          <w:p w14:paraId="34614EC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可归还市场化融资本息资金占比</w:t>
            </w:r>
          </w:p>
        </w:tc>
        <w:tc>
          <w:tcPr>
            <w:tcW w:w="302" w:type="pct"/>
            <w:tcBorders>
              <w:top w:val="nil"/>
              <w:left w:val="single" w:color="auto" w:sz="4" w:space="0"/>
              <w:bottom w:val="single" w:color="auto" w:sz="4" w:space="0"/>
              <w:right w:val="single" w:color="auto" w:sz="4" w:space="0"/>
            </w:tcBorders>
            <w:shd w:val="clear" w:color="auto" w:fill="auto"/>
            <w:vAlign w:val="center"/>
          </w:tcPr>
          <w:p w14:paraId="6CA35D8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5" w:type="pct"/>
            <w:tcBorders>
              <w:top w:val="nil"/>
              <w:left w:val="nil"/>
              <w:bottom w:val="single" w:color="auto" w:sz="4" w:space="0"/>
              <w:right w:val="single" w:color="auto" w:sz="4" w:space="0"/>
            </w:tcBorders>
            <w:shd w:val="clear" w:color="auto" w:fill="auto"/>
            <w:vAlign w:val="center"/>
          </w:tcPr>
          <w:p w14:paraId="2578E8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42" w:type="pct"/>
            <w:tcBorders>
              <w:top w:val="nil"/>
              <w:left w:val="nil"/>
              <w:bottom w:val="single" w:color="auto" w:sz="4" w:space="0"/>
              <w:right w:val="single" w:color="auto" w:sz="4" w:space="0"/>
            </w:tcBorders>
            <w:shd w:val="clear" w:color="auto" w:fill="auto"/>
            <w:vAlign w:val="center"/>
          </w:tcPr>
          <w:p w14:paraId="548A532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63" w:type="pct"/>
            <w:tcBorders>
              <w:top w:val="nil"/>
              <w:left w:val="nil"/>
              <w:bottom w:val="single" w:color="auto" w:sz="4" w:space="0"/>
              <w:right w:val="single" w:color="auto" w:sz="4" w:space="0"/>
            </w:tcBorders>
            <w:shd w:val="clear" w:color="auto" w:fill="auto"/>
            <w:vAlign w:val="center"/>
          </w:tcPr>
          <w:p w14:paraId="2DA85F6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3" w:type="pct"/>
            <w:tcBorders>
              <w:top w:val="nil"/>
              <w:left w:val="nil"/>
              <w:bottom w:val="single" w:color="auto" w:sz="4" w:space="0"/>
              <w:right w:val="single" w:color="auto" w:sz="4" w:space="0"/>
            </w:tcBorders>
            <w:shd w:val="clear" w:color="auto" w:fill="auto"/>
            <w:vAlign w:val="center"/>
          </w:tcPr>
          <w:p w14:paraId="3A631B1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312" w:type="pct"/>
            <w:tcBorders>
              <w:top w:val="nil"/>
              <w:left w:val="nil"/>
              <w:bottom w:val="single" w:color="auto" w:sz="4" w:space="0"/>
              <w:right w:val="single" w:color="auto" w:sz="4" w:space="0"/>
            </w:tcBorders>
            <w:shd w:val="clear" w:color="auto" w:fill="auto"/>
            <w:vAlign w:val="center"/>
          </w:tcPr>
          <w:p w14:paraId="2B76C4E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080A145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1C21DFE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76DDB70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2ED2332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63C3BC1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7" w:type="pct"/>
            <w:tcBorders>
              <w:top w:val="nil"/>
              <w:left w:val="nil"/>
              <w:bottom w:val="single" w:color="auto" w:sz="4" w:space="0"/>
              <w:right w:val="single" w:color="auto" w:sz="4" w:space="0"/>
            </w:tcBorders>
            <w:shd w:val="clear" w:color="auto" w:fill="auto"/>
            <w:vAlign w:val="center"/>
          </w:tcPr>
          <w:p w14:paraId="7EF0A54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442" w:type="pct"/>
            <w:tcBorders>
              <w:top w:val="nil"/>
              <w:left w:val="nil"/>
              <w:bottom w:val="single" w:color="auto" w:sz="4" w:space="0"/>
              <w:right w:val="single" w:color="auto" w:sz="4" w:space="0"/>
            </w:tcBorders>
            <w:shd w:val="clear" w:color="auto" w:fill="auto"/>
            <w:vAlign w:val="center"/>
          </w:tcPr>
          <w:p w14:paraId="6F1E68B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r>
      <w:tr w14:paraId="69B8410E">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70C3385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850" w:type="pct"/>
            <w:tcBorders>
              <w:top w:val="nil"/>
              <w:left w:val="nil"/>
              <w:bottom w:val="single" w:color="auto" w:sz="4" w:space="0"/>
              <w:right w:val="single" w:color="auto" w:sz="4" w:space="0"/>
            </w:tcBorders>
            <w:shd w:val="clear" w:color="auto" w:fill="auto"/>
            <w:vAlign w:val="center"/>
          </w:tcPr>
          <w:p w14:paraId="538A77C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融资平衡计算</w:t>
            </w:r>
          </w:p>
        </w:tc>
        <w:tc>
          <w:tcPr>
            <w:tcW w:w="302" w:type="pct"/>
            <w:tcBorders>
              <w:top w:val="nil"/>
              <w:left w:val="single" w:color="auto" w:sz="4" w:space="0"/>
              <w:bottom w:val="single" w:color="auto" w:sz="4" w:space="0"/>
              <w:right w:val="nil"/>
            </w:tcBorders>
            <w:shd w:val="clear" w:color="auto" w:fill="auto"/>
            <w:vAlign w:val="center"/>
          </w:tcPr>
          <w:p w14:paraId="3A4D6EEF">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5" w:type="pct"/>
            <w:tcBorders>
              <w:top w:val="nil"/>
              <w:left w:val="nil"/>
              <w:bottom w:val="single" w:color="auto" w:sz="4" w:space="0"/>
              <w:right w:val="nil"/>
            </w:tcBorders>
            <w:shd w:val="clear" w:color="auto" w:fill="auto"/>
            <w:vAlign w:val="center"/>
          </w:tcPr>
          <w:p w14:paraId="511F13B1">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42" w:type="pct"/>
            <w:tcBorders>
              <w:top w:val="nil"/>
              <w:left w:val="nil"/>
              <w:bottom w:val="single" w:color="auto" w:sz="4" w:space="0"/>
              <w:right w:val="nil"/>
            </w:tcBorders>
            <w:shd w:val="clear" w:color="auto" w:fill="auto"/>
            <w:vAlign w:val="center"/>
          </w:tcPr>
          <w:p w14:paraId="08030ACC">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63" w:type="pct"/>
            <w:tcBorders>
              <w:top w:val="nil"/>
              <w:left w:val="nil"/>
              <w:bottom w:val="single" w:color="auto" w:sz="4" w:space="0"/>
              <w:right w:val="nil"/>
            </w:tcBorders>
            <w:shd w:val="clear" w:color="auto" w:fill="auto"/>
            <w:vAlign w:val="center"/>
          </w:tcPr>
          <w:p w14:paraId="75AA2281">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3" w:type="pct"/>
            <w:tcBorders>
              <w:top w:val="nil"/>
              <w:left w:val="nil"/>
              <w:bottom w:val="single" w:color="auto" w:sz="4" w:space="0"/>
              <w:right w:val="nil"/>
            </w:tcBorders>
            <w:shd w:val="clear" w:color="auto" w:fill="auto"/>
            <w:vAlign w:val="center"/>
          </w:tcPr>
          <w:p w14:paraId="7C88B92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312" w:type="pct"/>
            <w:tcBorders>
              <w:top w:val="nil"/>
              <w:left w:val="nil"/>
              <w:bottom w:val="single" w:color="auto" w:sz="4" w:space="0"/>
              <w:right w:val="nil"/>
            </w:tcBorders>
            <w:shd w:val="clear" w:color="auto" w:fill="auto"/>
            <w:vAlign w:val="center"/>
          </w:tcPr>
          <w:p w14:paraId="62CFA2AD">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349CD56B">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30AAAA36">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482C460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5262D9D3">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58F56989">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7" w:type="pct"/>
            <w:tcBorders>
              <w:top w:val="nil"/>
              <w:left w:val="nil"/>
              <w:bottom w:val="single" w:color="auto" w:sz="4" w:space="0"/>
              <w:right w:val="nil"/>
            </w:tcBorders>
            <w:shd w:val="clear" w:color="auto" w:fill="auto"/>
            <w:vAlign w:val="center"/>
          </w:tcPr>
          <w:p w14:paraId="1414C40B">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442" w:type="pct"/>
            <w:tcBorders>
              <w:top w:val="nil"/>
              <w:left w:val="nil"/>
              <w:bottom w:val="single" w:color="auto" w:sz="4" w:space="0"/>
              <w:right w:val="single" w:color="auto" w:sz="4" w:space="0"/>
            </w:tcBorders>
            <w:shd w:val="clear" w:color="auto" w:fill="auto"/>
            <w:vAlign w:val="center"/>
          </w:tcPr>
          <w:p w14:paraId="367CA9E8">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r>
      <w:tr w14:paraId="41FD21C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4008624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w:t>
            </w:r>
          </w:p>
        </w:tc>
        <w:tc>
          <w:tcPr>
            <w:tcW w:w="850" w:type="pct"/>
            <w:tcBorders>
              <w:top w:val="nil"/>
              <w:left w:val="nil"/>
              <w:bottom w:val="single" w:color="auto" w:sz="4" w:space="0"/>
              <w:right w:val="single" w:color="auto" w:sz="4" w:space="0"/>
            </w:tcBorders>
            <w:shd w:val="clear" w:color="auto" w:fill="auto"/>
            <w:vAlign w:val="center"/>
          </w:tcPr>
          <w:p w14:paraId="3038D0C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还本付息金额</w:t>
            </w:r>
          </w:p>
        </w:tc>
        <w:tc>
          <w:tcPr>
            <w:tcW w:w="302" w:type="pct"/>
            <w:tcBorders>
              <w:top w:val="nil"/>
              <w:left w:val="single" w:color="auto" w:sz="4" w:space="0"/>
              <w:bottom w:val="single" w:color="auto" w:sz="4" w:space="0"/>
              <w:right w:val="single" w:color="auto" w:sz="4" w:space="0"/>
            </w:tcBorders>
            <w:shd w:val="clear" w:color="auto" w:fill="auto"/>
            <w:vAlign w:val="center"/>
          </w:tcPr>
          <w:p w14:paraId="7E0CA37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54,000.00 </w:t>
            </w:r>
          </w:p>
        </w:tc>
        <w:tc>
          <w:tcPr>
            <w:tcW w:w="295" w:type="pct"/>
            <w:tcBorders>
              <w:top w:val="nil"/>
              <w:left w:val="nil"/>
              <w:bottom w:val="single" w:color="auto" w:sz="4" w:space="0"/>
              <w:right w:val="single" w:color="auto" w:sz="4" w:space="0"/>
            </w:tcBorders>
            <w:shd w:val="clear" w:color="auto" w:fill="auto"/>
            <w:vAlign w:val="center"/>
          </w:tcPr>
          <w:p w14:paraId="1DFEC0F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20.00 </w:t>
            </w:r>
          </w:p>
        </w:tc>
        <w:tc>
          <w:tcPr>
            <w:tcW w:w="242" w:type="pct"/>
            <w:tcBorders>
              <w:top w:val="nil"/>
              <w:left w:val="nil"/>
              <w:bottom w:val="single" w:color="auto" w:sz="4" w:space="0"/>
              <w:right w:val="single" w:color="auto" w:sz="4" w:space="0"/>
            </w:tcBorders>
            <w:shd w:val="clear" w:color="auto" w:fill="auto"/>
            <w:vAlign w:val="center"/>
          </w:tcPr>
          <w:p w14:paraId="671AB36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480.00 </w:t>
            </w:r>
          </w:p>
        </w:tc>
        <w:tc>
          <w:tcPr>
            <w:tcW w:w="263" w:type="pct"/>
            <w:tcBorders>
              <w:top w:val="nil"/>
              <w:left w:val="nil"/>
              <w:bottom w:val="single" w:color="auto" w:sz="4" w:space="0"/>
              <w:right w:val="single" w:color="auto" w:sz="4" w:space="0"/>
            </w:tcBorders>
            <w:shd w:val="clear" w:color="auto" w:fill="auto"/>
            <w:vAlign w:val="center"/>
          </w:tcPr>
          <w:p w14:paraId="325AD5B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880.00 </w:t>
            </w:r>
          </w:p>
        </w:tc>
        <w:tc>
          <w:tcPr>
            <w:tcW w:w="293" w:type="pct"/>
            <w:tcBorders>
              <w:top w:val="nil"/>
              <w:left w:val="nil"/>
              <w:bottom w:val="single" w:color="auto" w:sz="4" w:space="0"/>
              <w:right w:val="single" w:color="auto" w:sz="4" w:space="0"/>
            </w:tcBorders>
            <w:shd w:val="clear" w:color="auto" w:fill="auto"/>
            <w:vAlign w:val="center"/>
          </w:tcPr>
          <w:p w14:paraId="5A23C71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900.00 </w:t>
            </w:r>
          </w:p>
        </w:tc>
        <w:tc>
          <w:tcPr>
            <w:tcW w:w="312" w:type="pct"/>
            <w:tcBorders>
              <w:top w:val="nil"/>
              <w:left w:val="nil"/>
              <w:bottom w:val="single" w:color="auto" w:sz="4" w:space="0"/>
              <w:right w:val="single" w:color="auto" w:sz="4" w:space="0"/>
            </w:tcBorders>
            <w:shd w:val="clear" w:color="auto" w:fill="auto"/>
            <w:vAlign w:val="center"/>
          </w:tcPr>
          <w:p w14:paraId="6EF9FA4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300.00 </w:t>
            </w:r>
          </w:p>
        </w:tc>
        <w:tc>
          <w:tcPr>
            <w:tcW w:w="297" w:type="pct"/>
            <w:tcBorders>
              <w:top w:val="nil"/>
              <w:left w:val="nil"/>
              <w:bottom w:val="single" w:color="auto" w:sz="4" w:space="0"/>
              <w:right w:val="single" w:color="auto" w:sz="4" w:space="0"/>
            </w:tcBorders>
            <w:shd w:val="clear" w:color="auto" w:fill="auto"/>
            <w:vAlign w:val="center"/>
          </w:tcPr>
          <w:p w14:paraId="1771395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1B68187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7D046A8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3A481B2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6B346B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64F543B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442" w:type="pct"/>
            <w:tcBorders>
              <w:top w:val="nil"/>
              <w:left w:val="nil"/>
              <w:bottom w:val="single" w:color="auto" w:sz="4" w:space="0"/>
              <w:right w:val="single" w:color="auto" w:sz="4" w:space="0"/>
            </w:tcBorders>
            <w:shd w:val="clear" w:color="auto" w:fill="auto"/>
            <w:vAlign w:val="center"/>
          </w:tcPr>
          <w:p w14:paraId="1DD464F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r>
      <w:tr w14:paraId="7DE155EE">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35AF1BA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w:t>
            </w:r>
          </w:p>
        </w:tc>
        <w:tc>
          <w:tcPr>
            <w:tcW w:w="850" w:type="pct"/>
            <w:tcBorders>
              <w:top w:val="nil"/>
              <w:left w:val="nil"/>
              <w:bottom w:val="single" w:color="auto" w:sz="4" w:space="0"/>
              <w:right w:val="single" w:color="auto" w:sz="4" w:space="0"/>
            </w:tcBorders>
            <w:shd w:val="clear" w:color="auto" w:fill="auto"/>
            <w:vAlign w:val="center"/>
          </w:tcPr>
          <w:p w14:paraId="439FE8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专项债券还本付息</w:t>
            </w:r>
          </w:p>
        </w:tc>
        <w:tc>
          <w:tcPr>
            <w:tcW w:w="302" w:type="pct"/>
            <w:tcBorders>
              <w:top w:val="nil"/>
              <w:left w:val="single" w:color="auto" w:sz="4" w:space="0"/>
              <w:bottom w:val="single" w:color="auto" w:sz="4" w:space="0"/>
              <w:right w:val="single" w:color="auto" w:sz="4" w:space="0"/>
            </w:tcBorders>
            <w:shd w:val="clear" w:color="auto" w:fill="auto"/>
            <w:vAlign w:val="center"/>
          </w:tcPr>
          <w:p w14:paraId="0B00BF3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54,000.00 </w:t>
            </w:r>
          </w:p>
        </w:tc>
        <w:tc>
          <w:tcPr>
            <w:tcW w:w="295" w:type="pct"/>
            <w:tcBorders>
              <w:top w:val="nil"/>
              <w:left w:val="nil"/>
              <w:bottom w:val="single" w:color="auto" w:sz="4" w:space="0"/>
              <w:right w:val="single" w:color="auto" w:sz="4" w:space="0"/>
            </w:tcBorders>
            <w:shd w:val="clear" w:color="auto" w:fill="auto"/>
            <w:vAlign w:val="center"/>
          </w:tcPr>
          <w:p w14:paraId="4D05BF3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20.00 </w:t>
            </w:r>
          </w:p>
        </w:tc>
        <w:tc>
          <w:tcPr>
            <w:tcW w:w="242" w:type="pct"/>
            <w:tcBorders>
              <w:top w:val="nil"/>
              <w:left w:val="nil"/>
              <w:bottom w:val="single" w:color="auto" w:sz="4" w:space="0"/>
              <w:right w:val="single" w:color="auto" w:sz="4" w:space="0"/>
            </w:tcBorders>
            <w:shd w:val="clear" w:color="auto" w:fill="auto"/>
            <w:vAlign w:val="center"/>
          </w:tcPr>
          <w:p w14:paraId="773DB96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480.00 </w:t>
            </w:r>
          </w:p>
        </w:tc>
        <w:tc>
          <w:tcPr>
            <w:tcW w:w="263" w:type="pct"/>
            <w:tcBorders>
              <w:top w:val="nil"/>
              <w:left w:val="nil"/>
              <w:bottom w:val="single" w:color="auto" w:sz="4" w:space="0"/>
              <w:right w:val="single" w:color="auto" w:sz="4" w:space="0"/>
            </w:tcBorders>
            <w:shd w:val="clear" w:color="auto" w:fill="auto"/>
            <w:vAlign w:val="center"/>
          </w:tcPr>
          <w:p w14:paraId="2294039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880.00 </w:t>
            </w:r>
          </w:p>
        </w:tc>
        <w:tc>
          <w:tcPr>
            <w:tcW w:w="293" w:type="pct"/>
            <w:tcBorders>
              <w:top w:val="nil"/>
              <w:left w:val="nil"/>
              <w:bottom w:val="single" w:color="auto" w:sz="4" w:space="0"/>
              <w:right w:val="single" w:color="auto" w:sz="4" w:space="0"/>
            </w:tcBorders>
            <w:shd w:val="clear" w:color="auto" w:fill="auto"/>
            <w:vAlign w:val="center"/>
          </w:tcPr>
          <w:p w14:paraId="09D5F79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900.00 </w:t>
            </w:r>
          </w:p>
        </w:tc>
        <w:tc>
          <w:tcPr>
            <w:tcW w:w="312" w:type="pct"/>
            <w:tcBorders>
              <w:top w:val="nil"/>
              <w:left w:val="nil"/>
              <w:bottom w:val="single" w:color="auto" w:sz="4" w:space="0"/>
              <w:right w:val="single" w:color="auto" w:sz="4" w:space="0"/>
            </w:tcBorders>
            <w:shd w:val="clear" w:color="auto" w:fill="auto"/>
            <w:vAlign w:val="center"/>
          </w:tcPr>
          <w:p w14:paraId="5B937D8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300.00 </w:t>
            </w:r>
          </w:p>
        </w:tc>
        <w:tc>
          <w:tcPr>
            <w:tcW w:w="297" w:type="pct"/>
            <w:tcBorders>
              <w:top w:val="nil"/>
              <w:left w:val="nil"/>
              <w:bottom w:val="single" w:color="auto" w:sz="4" w:space="0"/>
              <w:right w:val="single" w:color="auto" w:sz="4" w:space="0"/>
            </w:tcBorders>
            <w:shd w:val="clear" w:color="auto" w:fill="auto"/>
            <w:vAlign w:val="center"/>
          </w:tcPr>
          <w:p w14:paraId="0627943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1263BCA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4CA96D3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2250FFA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1C6ABF4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370F3C2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442" w:type="pct"/>
            <w:tcBorders>
              <w:top w:val="nil"/>
              <w:left w:val="nil"/>
              <w:bottom w:val="single" w:color="auto" w:sz="4" w:space="0"/>
              <w:right w:val="single" w:color="auto" w:sz="4" w:space="0"/>
            </w:tcBorders>
            <w:shd w:val="clear" w:color="auto" w:fill="auto"/>
            <w:vAlign w:val="center"/>
          </w:tcPr>
          <w:p w14:paraId="0BDCE56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r>
      <w:tr w14:paraId="5FE1639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643A49A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4.1.1</w:t>
            </w:r>
          </w:p>
        </w:tc>
        <w:tc>
          <w:tcPr>
            <w:tcW w:w="850" w:type="pct"/>
            <w:tcBorders>
              <w:top w:val="nil"/>
              <w:left w:val="nil"/>
              <w:bottom w:val="single" w:color="auto" w:sz="4" w:space="0"/>
              <w:right w:val="single" w:color="auto" w:sz="4" w:space="0"/>
            </w:tcBorders>
            <w:shd w:val="clear" w:color="auto" w:fill="auto"/>
            <w:vAlign w:val="center"/>
          </w:tcPr>
          <w:p w14:paraId="4C6F96D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专项债券利息</w:t>
            </w:r>
          </w:p>
        </w:tc>
        <w:tc>
          <w:tcPr>
            <w:tcW w:w="302" w:type="pct"/>
            <w:tcBorders>
              <w:top w:val="nil"/>
              <w:left w:val="single" w:color="auto" w:sz="4" w:space="0"/>
              <w:bottom w:val="single" w:color="auto" w:sz="4" w:space="0"/>
              <w:right w:val="single" w:color="auto" w:sz="4" w:space="0"/>
            </w:tcBorders>
            <w:shd w:val="clear" w:color="auto" w:fill="auto"/>
            <w:vAlign w:val="center"/>
          </w:tcPr>
          <w:p w14:paraId="11B8923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24,000.00 </w:t>
            </w:r>
          </w:p>
        </w:tc>
        <w:tc>
          <w:tcPr>
            <w:tcW w:w="295" w:type="pct"/>
            <w:tcBorders>
              <w:top w:val="nil"/>
              <w:left w:val="nil"/>
              <w:bottom w:val="single" w:color="auto" w:sz="4" w:space="0"/>
              <w:right w:val="single" w:color="auto" w:sz="4" w:space="0"/>
            </w:tcBorders>
            <w:shd w:val="clear" w:color="auto" w:fill="auto"/>
            <w:vAlign w:val="center"/>
          </w:tcPr>
          <w:p w14:paraId="61E5586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20.00 </w:t>
            </w:r>
          </w:p>
        </w:tc>
        <w:tc>
          <w:tcPr>
            <w:tcW w:w="242" w:type="pct"/>
            <w:tcBorders>
              <w:top w:val="nil"/>
              <w:left w:val="nil"/>
              <w:bottom w:val="single" w:color="auto" w:sz="4" w:space="0"/>
              <w:right w:val="single" w:color="auto" w:sz="4" w:space="0"/>
            </w:tcBorders>
            <w:shd w:val="clear" w:color="auto" w:fill="auto"/>
            <w:vAlign w:val="center"/>
          </w:tcPr>
          <w:p w14:paraId="348B62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480.00 </w:t>
            </w:r>
          </w:p>
        </w:tc>
        <w:tc>
          <w:tcPr>
            <w:tcW w:w="263" w:type="pct"/>
            <w:tcBorders>
              <w:top w:val="nil"/>
              <w:left w:val="nil"/>
              <w:bottom w:val="single" w:color="auto" w:sz="4" w:space="0"/>
              <w:right w:val="single" w:color="auto" w:sz="4" w:space="0"/>
            </w:tcBorders>
            <w:shd w:val="clear" w:color="auto" w:fill="auto"/>
            <w:vAlign w:val="center"/>
          </w:tcPr>
          <w:p w14:paraId="6A01751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880.00 </w:t>
            </w:r>
          </w:p>
        </w:tc>
        <w:tc>
          <w:tcPr>
            <w:tcW w:w="293" w:type="pct"/>
            <w:tcBorders>
              <w:top w:val="nil"/>
              <w:left w:val="nil"/>
              <w:bottom w:val="single" w:color="auto" w:sz="4" w:space="0"/>
              <w:right w:val="single" w:color="auto" w:sz="4" w:space="0"/>
            </w:tcBorders>
            <w:shd w:val="clear" w:color="auto" w:fill="auto"/>
            <w:vAlign w:val="center"/>
          </w:tcPr>
          <w:p w14:paraId="439AE3F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900.00 </w:t>
            </w:r>
          </w:p>
        </w:tc>
        <w:tc>
          <w:tcPr>
            <w:tcW w:w="312" w:type="pct"/>
            <w:tcBorders>
              <w:top w:val="nil"/>
              <w:left w:val="nil"/>
              <w:bottom w:val="single" w:color="auto" w:sz="4" w:space="0"/>
              <w:right w:val="single" w:color="auto" w:sz="4" w:space="0"/>
            </w:tcBorders>
            <w:shd w:val="clear" w:color="auto" w:fill="auto"/>
            <w:vAlign w:val="center"/>
          </w:tcPr>
          <w:p w14:paraId="78B1514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300.00 </w:t>
            </w:r>
          </w:p>
        </w:tc>
        <w:tc>
          <w:tcPr>
            <w:tcW w:w="297" w:type="pct"/>
            <w:tcBorders>
              <w:top w:val="nil"/>
              <w:left w:val="nil"/>
              <w:bottom w:val="single" w:color="auto" w:sz="4" w:space="0"/>
              <w:right w:val="single" w:color="auto" w:sz="4" w:space="0"/>
            </w:tcBorders>
            <w:shd w:val="clear" w:color="auto" w:fill="auto"/>
            <w:vAlign w:val="center"/>
          </w:tcPr>
          <w:p w14:paraId="445B5D0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6433DEB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61968AA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032E5CF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6D35E45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7" w:type="pct"/>
            <w:tcBorders>
              <w:top w:val="nil"/>
              <w:left w:val="nil"/>
              <w:bottom w:val="single" w:color="auto" w:sz="4" w:space="0"/>
              <w:right w:val="single" w:color="auto" w:sz="4" w:space="0"/>
            </w:tcBorders>
            <w:shd w:val="clear" w:color="auto" w:fill="auto"/>
            <w:vAlign w:val="center"/>
          </w:tcPr>
          <w:p w14:paraId="4382A25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442" w:type="pct"/>
            <w:tcBorders>
              <w:top w:val="nil"/>
              <w:left w:val="nil"/>
              <w:bottom w:val="single" w:color="auto" w:sz="4" w:space="0"/>
              <w:right w:val="single" w:color="auto" w:sz="4" w:space="0"/>
            </w:tcBorders>
            <w:shd w:val="clear" w:color="auto" w:fill="auto"/>
            <w:vAlign w:val="center"/>
          </w:tcPr>
          <w:p w14:paraId="6A96A84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r>
      <w:tr w14:paraId="56BCAFAD">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14D2967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4.1.2</w:t>
            </w:r>
          </w:p>
        </w:tc>
        <w:tc>
          <w:tcPr>
            <w:tcW w:w="850" w:type="pct"/>
            <w:tcBorders>
              <w:top w:val="nil"/>
              <w:left w:val="nil"/>
              <w:bottom w:val="single" w:color="auto" w:sz="4" w:space="0"/>
              <w:right w:val="single" w:color="auto" w:sz="4" w:space="0"/>
            </w:tcBorders>
            <w:shd w:val="clear" w:color="auto" w:fill="auto"/>
            <w:vAlign w:val="center"/>
          </w:tcPr>
          <w:p w14:paraId="69289DD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专项债券还本</w:t>
            </w:r>
          </w:p>
        </w:tc>
        <w:tc>
          <w:tcPr>
            <w:tcW w:w="302" w:type="pct"/>
            <w:tcBorders>
              <w:top w:val="nil"/>
              <w:left w:val="single" w:color="auto" w:sz="4" w:space="0"/>
              <w:bottom w:val="single" w:color="auto" w:sz="4" w:space="0"/>
              <w:right w:val="single" w:color="auto" w:sz="4" w:space="0"/>
            </w:tcBorders>
            <w:shd w:val="clear" w:color="auto" w:fill="auto"/>
            <w:vAlign w:val="center"/>
          </w:tcPr>
          <w:p w14:paraId="3BD3098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30,000.00 </w:t>
            </w:r>
          </w:p>
        </w:tc>
        <w:tc>
          <w:tcPr>
            <w:tcW w:w="295" w:type="pct"/>
            <w:tcBorders>
              <w:top w:val="nil"/>
              <w:left w:val="nil"/>
              <w:bottom w:val="single" w:color="auto" w:sz="4" w:space="0"/>
              <w:right w:val="single" w:color="auto" w:sz="4" w:space="0"/>
            </w:tcBorders>
            <w:shd w:val="clear" w:color="auto" w:fill="auto"/>
            <w:vAlign w:val="center"/>
          </w:tcPr>
          <w:p w14:paraId="5479B19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2B99386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2824B67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0747523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66EE30B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3F34D6D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76C0D7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00EC269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4785A9A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499E6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47D17F3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442" w:type="pct"/>
            <w:tcBorders>
              <w:top w:val="nil"/>
              <w:left w:val="nil"/>
              <w:bottom w:val="single" w:color="auto" w:sz="4" w:space="0"/>
              <w:right w:val="single" w:color="auto" w:sz="4" w:space="0"/>
            </w:tcBorders>
            <w:shd w:val="clear" w:color="auto" w:fill="auto"/>
            <w:vAlign w:val="center"/>
          </w:tcPr>
          <w:p w14:paraId="4C91468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3CA77C4C">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0E16E41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w:t>
            </w:r>
          </w:p>
        </w:tc>
        <w:tc>
          <w:tcPr>
            <w:tcW w:w="850" w:type="pct"/>
            <w:tcBorders>
              <w:top w:val="nil"/>
              <w:left w:val="nil"/>
              <w:bottom w:val="single" w:color="auto" w:sz="4" w:space="0"/>
              <w:right w:val="single" w:color="auto" w:sz="4" w:space="0"/>
            </w:tcBorders>
            <w:shd w:val="clear" w:color="auto" w:fill="auto"/>
            <w:vAlign w:val="center"/>
          </w:tcPr>
          <w:p w14:paraId="676AFFD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市场化融资还本付息</w:t>
            </w:r>
          </w:p>
        </w:tc>
        <w:tc>
          <w:tcPr>
            <w:tcW w:w="302" w:type="pct"/>
            <w:tcBorders>
              <w:top w:val="nil"/>
              <w:left w:val="single" w:color="auto" w:sz="4" w:space="0"/>
              <w:bottom w:val="single" w:color="auto" w:sz="4" w:space="0"/>
              <w:right w:val="single" w:color="auto" w:sz="4" w:space="0"/>
            </w:tcBorders>
            <w:shd w:val="clear" w:color="auto" w:fill="auto"/>
            <w:vAlign w:val="center"/>
          </w:tcPr>
          <w:p w14:paraId="268FE89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5" w:type="pct"/>
            <w:tcBorders>
              <w:top w:val="nil"/>
              <w:left w:val="nil"/>
              <w:bottom w:val="single" w:color="auto" w:sz="4" w:space="0"/>
              <w:right w:val="single" w:color="auto" w:sz="4" w:space="0"/>
            </w:tcBorders>
            <w:shd w:val="clear" w:color="auto" w:fill="auto"/>
            <w:vAlign w:val="center"/>
          </w:tcPr>
          <w:p w14:paraId="29C04A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63810D5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3186CB8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21DEAD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4333C82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2CA5672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4EBD71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73C72A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633D0A7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70C197D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658890B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442" w:type="pct"/>
            <w:tcBorders>
              <w:top w:val="nil"/>
              <w:left w:val="nil"/>
              <w:bottom w:val="single" w:color="auto" w:sz="4" w:space="0"/>
              <w:right w:val="single" w:color="auto" w:sz="4" w:space="0"/>
            </w:tcBorders>
            <w:shd w:val="clear" w:color="auto" w:fill="auto"/>
            <w:vAlign w:val="center"/>
          </w:tcPr>
          <w:p w14:paraId="1E95208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602131F5">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2817195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4.2.1</w:t>
            </w:r>
          </w:p>
        </w:tc>
        <w:tc>
          <w:tcPr>
            <w:tcW w:w="850" w:type="pct"/>
            <w:tcBorders>
              <w:top w:val="nil"/>
              <w:left w:val="nil"/>
              <w:bottom w:val="single" w:color="auto" w:sz="4" w:space="0"/>
              <w:right w:val="single" w:color="auto" w:sz="4" w:space="0"/>
            </w:tcBorders>
            <w:shd w:val="clear" w:color="auto" w:fill="auto"/>
            <w:vAlign w:val="center"/>
          </w:tcPr>
          <w:p w14:paraId="01EB7A2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运营期市场化融资利息</w:t>
            </w:r>
          </w:p>
        </w:tc>
        <w:tc>
          <w:tcPr>
            <w:tcW w:w="302" w:type="pct"/>
            <w:tcBorders>
              <w:top w:val="nil"/>
              <w:left w:val="single" w:color="auto" w:sz="4" w:space="0"/>
              <w:bottom w:val="single" w:color="auto" w:sz="4" w:space="0"/>
              <w:right w:val="single" w:color="auto" w:sz="4" w:space="0"/>
            </w:tcBorders>
            <w:shd w:val="clear" w:color="auto" w:fill="auto"/>
            <w:vAlign w:val="center"/>
          </w:tcPr>
          <w:p w14:paraId="60783D2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5" w:type="pct"/>
            <w:tcBorders>
              <w:top w:val="nil"/>
              <w:left w:val="nil"/>
              <w:bottom w:val="single" w:color="auto" w:sz="4" w:space="0"/>
              <w:right w:val="single" w:color="auto" w:sz="4" w:space="0"/>
            </w:tcBorders>
            <w:shd w:val="clear" w:color="auto" w:fill="auto"/>
            <w:vAlign w:val="center"/>
          </w:tcPr>
          <w:p w14:paraId="726D313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7E9E45B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1F4038C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113B61F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003B39A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6C90017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5C921AB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49288EE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27FCF50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66E0579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17BF2F7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442" w:type="pct"/>
            <w:tcBorders>
              <w:top w:val="nil"/>
              <w:left w:val="nil"/>
              <w:bottom w:val="single" w:color="auto" w:sz="4" w:space="0"/>
              <w:right w:val="single" w:color="auto" w:sz="4" w:space="0"/>
            </w:tcBorders>
            <w:shd w:val="clear" w:color="auto" w:fill="auto"/>
            <w:vAlign w:val="center"/>
          </w:tcPr>
          <w:p w14:paraId="7E1843B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234073BA">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38CEC08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4.2.2</w:t>
            </w:r>
          </w:p>
        </w:tc>
        <w:tc>
          <w:tcPr>
            <w:tcW w:w="850" w:type="pct"/>
            <w:tcBorders>
              <w:top w:val="nil"/>
              <w:left w:val="nil"/>
              <w:bottom w:val="single" w:color="auto" w:sz="4" w:space="0"/>
              <w:right w:val="single" w:color="auto" w:sz="4" w:space="0"/>
            </w:tcBorders>
            <w:shd w:val="clear" w:color="auto" w:fill="auto"/>
            <w:vAlign w:val="center"/>
          </w:tcPr>
          <w:p w14:paraId="5A19D29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市场化融资还本</w:t>
            </w:r>
          </w:p>
        </w:tc>
        <w:tc>
          <w:tcPr>
            <w:tcW w:w="302" w:type="pct"/>
            <w:tcBorders>
              <w:top w:val="nil"/>
              <w:left w:val="single" w:color="auto" w:sz="4" w:space="0"/>
              <w:bottom w:val="single" w:color="auto" w:sz="4" w:space="0"/>
              <w:right w:val="single" w:color="auto" w:sz="4" w:space="0"/>
            </w:tcBorders>
            <w:shd w:val="clear" w:color="auto" w:fill="auto"/>
            <w:vAlign w:val="center"/>
          </w:tcPr>
          <w:p w14:paraId="65DC4B9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5" w:type="pct"/>
            <w:tcBorders>
              <w:top w:val="nil"/>
              <w:left w:val="nil"/>
              <w:bottom w:val="single" w:color="auto" w:sz="4" w:space="0"/>
              <w:right w:val="single" w:color="auto" w:sz="4" w:space="0"/>
            </w:tcBorders>
            <w:shd w:val="clear" w:color="auto" w:fill="auto"/>
            <w:vAlign w:val="center"/>
          </w:tcPr>
          <w:p w14:paraId="7C625FE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42" w:type="pct"/>
            <w:tcBorders>
              <w:top w:val="nil"/>
              <w:left w:val="nil"/>
              <w:bottom w:val="single" w:color="auto" w:sz="4" w:space="0"/>
              <w:right w:val="single" w:color="auto" w:sz="4" w:space="0"/>
            </w:tcBorders>
            <w:shd w:val="clear" w:color="auto" w:fill="auto"/>
            <w:vAlign w:val="center"/>
          </w:tcPr>
          <w:p w14:paraId="440CDE8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63" w:type="pct"/>
            <w:tcBorders>
              <w:top w:val="nil"/>
              <w:left w:val="nil"/>
              <w:bottom w:val="single" w:color="auto" w:sz="4" w:space="0"/>
              <w:right w:val="single" w:color="auto" w:sz="4" w:space="0"/>
            </w:tcBorders>
            <w:shd w:val="clear" w:color="auto" w:fill="auto"/>
            <w:vAlign w:val="center"/>
          </w:tcPr>
          <w:p w14:paraId="775EE9D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3" w:type="pct"/>
            <w:tcBorders>
              <w:top w:val="nil"/>
              <w:left w:val="nil"/>
              <w:bottom w:val="single" w:color="auto" w:sz="4" w:space="0"/>
              <w:right w:val="single" w:color="auto" w:sz="4" w:space="0"/>
            </w:tcBorders>
            <w:shd w:val="clear" w:color="auto" w:fill="auto"/>
            <w:vAlign w:val="center"/>
          </w:tcPr>
          <w:p w14:paraId="0183972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12" w:type="pct"/>
            <w:tcBorders>
              <w:top w:val="nil"/>
              <w:left w:val="nil"/>
              <w:bottom w:val="single" w:color="auto" w:sz="4" w:space="0"/>
              <w:right w:val="single" w:color="auto" w:sz="4" w:space="0"/>
            </w:tcBorders>
            <w:shd w:val="clear" w:color="auto" w:fill="auto"/>
            <w:vAlign w:val="center"/>
          </w:tcPr>
          <w:p w14:paraId="35FFEC0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0EB8169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36D8F8C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7918C16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6FB5C2C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05FE867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7" w:type="pct"/>
            <w:tcBorders>
              <w:top w:val="nil"/>
              <w:left w:val="nil"/>
              <w:bottom w:val="single" w:color="auto" w:sz="4" w:space="0"/>
              <w:right w:val="single" w:color="auto" w:sz="4" w:space="0"/>
            </w:tcBorders>
            <w:shd w:val="clear" w:color="auto" w:fill="auto"/>
            <w:vAlign w:val="center"/>
          </w:tcPr>
          <w:p w14:paraId="5D11955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442" w:type="pct"/>
            <w:tcBorders>
              <w:top w:val="nil"/>
              <w:left w:val="nil"/>
              <w:bottom w:val="single" w:color="auto" w:sz="4" w:space="0"/>
              <w:right w:val="single" w:color="auto" w:sz="4" w:space="0"/>
            </w:tcBorders>
            <w:shd w:val="clear" w:color="auto" w:fill="auto"/>
            <w:vAlign w:val="center"/>
          </w:tcPr>
          <w:p w14:paraId="09FFDAE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4E082CC8">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342"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0FA521C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5</w:t>
            </w:r>
          </w:p>
        </w:tc>
        <w:tc>
          <w:tcPr>
            <w:tcW w:w="850" w:type="pct"/>
            <w:tcBorders>
              <w:top w:val="nil"/>
              <w:left w:val="nil"/>
              <w:bottom w:val="single" w:color="auto" w:sz="4" w:space="0"/>
              <w:right w:val="single" w:color="auto" w:sz="4" w:space="0"/>
            </w:tcBorders>
            <w:shd w:val="clear" w:color="auto" w:fill="auto"/>
            <w:vAlign w:val="center"/>
          </w:tcPr>
          <w:p w14:paraId="2AD781E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项目总的本息覆盖倍数</w:t>
            </w:r>
          </w:p>
        </w:tc>
        <w:tc>
          <w:tcPr>
            <w:tcW w:w="3933" w:type="pct"/>
            <w:gridSpan w:val="13"/>
            <w:tcBorders>
              <w:top w:val="single" w:color="auto" w:sz="4" w:space="0"/>
              <w:left w:val="single" w:color="auto" w:sz="4" w:space="0"/>
              <w:bottom w:val="single" w:color="auto" w:sz="4" w:space="0"/>
              <w:right w:val="single" w:color="auto" w:sz="4" w:space="0"/>
            </w:tcBorders>
            <w:shd w:val="clear" w:color="auto" w:fill="auto"/>
            <w:vAlign w:val="center"/>
          </w:tcPr>
          <w:p w14:paraId="350E63E0">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1.25 </w:t>
            </w:r>
          </w:p>
        </w:tc>
      </w:tr>
      <w:tr w14:paraId="50A15C8F">
        <w:tblPrEx>
          <w:tblBorders>
            <w:top w:val="single" w:color="auto" w:sz="40" w:space="0"/>
            <w:left w:val="single" w:color="auto" w:sz="40" w:space="0"/>
            <w:bottom w:val="single" w:color="auto" w:sz="40" w:space="0"/>
            <w:right w:val="single" w:color="auto" w:sz="40" w:space="0"/>
            <w:insideH w:val="single" w:color="auto" w:sz="40" w:space="0"/>
            <w:insideV w:val="single" w:color="auto" w:sz="40" w:space="0"/>
          </w:tblBorders>
          <w:tblCellMar>
            <w:top w:w="0" w:type="dxa"/>
            <w:left w:w="108" w:type="dxa"/>
            <w:bottom w:w="0" w:type="dxa"/>
            <w:right w:w="108" w:type="dxa"/>
          </w:tblCellMar>
        </w:tblPrEx>
        <w:trPr>
          <w:trHeight w:val="416" w:hRule="atLeast"/>
          <w:jc w:val="center"/>
        </w:trPr>
        <w:tc>
          <w:tcPr>
            <w:tcW w:w="215" w:type="pct"/>
            <w:tcBorders>
              <w:top w:val="nil"/>
              <w:left w:val="single" w:color="auto" w:sz="4" w:space="0"/>
              <w:bottom w:val="single" w:color="auto" w:sz="4" w:space="0"/>
              <w:right w:val="single" w:color="auto" w:sz="4" w:space="0"/>
            </w:tcBorders>
            <w:shd w:val="clear" w:color="auto" w:fill="auto"/>
            <w:vAlign w:val="center"/>
          </w:tcPr>
          <w:p w14:paraId="609FDAE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6</w:t>
            </w:r>
          </w:p>
        </w:tc>
        <w:tc>
          <w:tcPr>
            <w:tcW w:w="850" w:type="pct"/>
            <w:tcBorders>
              <w:top w:val="nil"/>
              <w:left w:val="nil"/>
              <w:bottom w:val="single" w:color="auto" w:sz="4" w:space="0"/>
              <w:right w:val="single" w:color="auto" w:sz="4" w:space="0"/>
            </w:tcBorders>
            <w:shd w:val="clear" w:color="auto" w:fill="auto"/>
            <w:vAlign w:val="center"/>
          </w:tcPr>
          <w:p w14:paraId="3B655B0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归还专项债券本息覆盖倍数</w:t>
            </w:r>
          </w:p>
        </w:tc>
        <w:tc>
          <w:tcPr>
            <w:tcW w:w="3933" w:type="pct"/>
            <w:gridSpan w:val="13"/>
            <w:tcBorders>
              <w:top w:val="single" w:color="auto" w:sz="4" w:space="0"/>
              <w:left w:val="single" w:color="auto" w:sz="4" w:space="0"/>
              <w:bottom w:val="single" w:color="auto" w:sz="4" w:space="0"/>
              <w:right w:val="single" w:color="auto" w:sz="4" w:space="0"/>
            </w:tcBorders>
            <w:shd w:val="clear" w:color="auto" w:fill="auto"/>
            <w:vAlign w:val="center"/>
          </w:tcPr>
          <w:p w14:paraId="4DF279B2">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1.25 </w:t>
            </w:r>
          </w:p>
        </w:tc>
      </w:tr>
    </w:tbl>
    <w:p w14:paraId="261CB4E9">
      <w:pPr>
        <w:pStyle w:val="7"/>
        <w:ind w:left="0" w:leftChars="0" w:firstLine="0" w:firstLineChars="0"/>
        <w:rPr>
          <w:rFonts w:hint="eastAsia"/>
          <w:lang w:val="en-US" w:eastAsia="zh-CN"/>
        </w:rPr>
      </w:pPr>
    </w:p>
    <w:p w14:paraId="1C9916AC">
      <w:pPr>
        <w:rPr>
          <w:rFonts w:hint="eastAsia"/>
          <w:lang w:val="en-US" w:eastAsia="zh-CN"/>
        </w:rPr>
      </w:pPr>
      <w:r>
        <w:rPr>
          <w:rFonts w:hint="eastAsia"/>
          <w:lang w:val="en-US" w:eastAsia="zh-CN"/>
        </w:rPr>
        <w:br w:type="page"/>
      </w:r>
    </w:p>
    <w:p w14:paraId="19C4A2A3">
      <w:pPr>
        <w:pStyle w:val="6"/>
        <w:rPr>
          <w:rFonts w:hint="default"/>
          <w:lang w:val="en-US" w:eastAsia="zh-CN"/>
        </w:rPr>
      </w:pPr>
      <w:r>
        <w:rPr>
          <w:rFonts w:hint="eastAsia"/>
          <w:lang w:val="en-US" w:eastAsia="zh-CN"/>
        </w:rPr>
        <w:t>——续上表——</w:t>
      </w:r>
    </w:p>
    <w:tbl>
      <w:tblPr>
        <w:tblStyle w:val="14"/>
        <w:tblW w:w="4895"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94"/>
        <w:gridCol w:w="2853"/>
        <w:gridCol w:w="1097"/>
        <w:gridCol w:w="973"/>
        <w:gridCol w:w="1055"/>
        <w:gridCol w:w="1055"/>
        <w:gridCol w:w="1055"/>
        <w:gridCol w:w="1055"/>
        <w:gridCol w:w="1055"/>
        <w:gridCol w:w="1055"/>
        <w:gridCol w:w="1055"/>
        <w:gridCol w:w="1055"/>
        <w:gridCol w:w="1155"/>
        <w:gridCol w:w="1162"/>
        <w:gridCol w:w="1343"/>
      </w:tblGrid>
      <w:tr w14:paraId="327FBF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7" w:hRule="atLeast"/>
          <w:jc w:val="center"/>
        </w:trPr>
        <w:tc>
          <w:tcPr>
            <w:tcW w:w="5000" w:type="pct"/>
            <w:gridSpan w:val="15"/>
            <w:tcBorders>
              <w:top w:val="nil"/>
              <w:left w:val="nil"/>
              <w:bottom w:val="nil"/>
              <w:right w:val="nil"/>
            </w:tcBorders>
            <w:shd w:val="clear" w:color="auto" w:fill="5B9BD5"/>
            <w:noWrap/>
            <w:vAlign w:val="center"/>
          </w:tcPr>
          <w:p w14:paraId="1EA4FF26">
            <w:pPr>
              <w:keepNext w:val="0"/>
              <w:keepLines w:val="0"/>
              <w:widowControl/>
              <w:suppressLineNumbers w:val="0"/>
              <w:jc w:val="center"/>
              <w:textAlignment w:val="center"/>
              <w:rPr>
                <w:rFonts w:hint="eastAsia" w:ascii="宋体" w:hAnsi="宋体" w:eastAsia="宋体" w:cs="宋体"/>
                <w:b/>
                <w:bCs/>
                <w:i w:val="0"/>
                <w:iCs w:val="0"/>
                <w:color w:val="FFFFFF"/>
                <w:sz w:val="32"/>
                <w:szCs w:val="32"/>
                <w:u w:val="none"/>
              </w:rPr>
            </w:pPr>
            <w:r>
              <w:rPr>
                <w:rFonts w:hint="eastAsia" w:ascii="宋体" w:hAnsi="宋体" w:eastAsia="宋体" w:cs="宋体"/>
                <w:b/>
                <w:bCs/>
                <w:i w:val="0"/>
                <w:iCs w:val="0"/>
                <w:color w:val="FFFFFF"/>
                <w:kern w:val="0"/>
                <w:sz w:val="28"/>
                <w:szCs w:val="28"/>
                <w:u w:val="none"/>
                <w:lang w:val="en-US" w:eastAsia="zh-CN" w:bidi="ar"/>
              </w:rPr>
              <w:t>资金测算平衡情况表</w:t>
            </w:r>
          </w:p>
        </w:tc>
      </w:tr>
      <w:tr w14:paraId="5D48B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223" w:type="pct"/>
            <w:vMerge w:val="restart"/>
            <w:shd w:val="clear" w:color="auto" w:fill="auto"/>
            <w:vAlign w:val="center"/>
          </w:tcPr>
          <w:p w14:paraId="7265BF41">
            <w:pPr>
              <w:pStyle w:val="6"/>
              <w:rPr>
                <w:rFonts w:ascii="宋体" w:hAnsi="宋体" w:eastAsia="宋体" w:cs="宋体"/>
                <w:color w:val="auto"/>
                <w:sz w:val="18"/>
                <w:szCs w:val="18"/>
              </w:rPr>
            </w:pPr>
            <w:r>
              <w:rPr>
                <w:rFonts w:hint="eastAsia"/>
                <w:lang w:val="en-US" w:eastAsia="zh-CN"/>
              </w:rPr>
              <w:t xml:space="preserve">  </w:t>
            </w:r>
            <w:r>
              <w:rPr>
                <w:rFonts w:hint="eastAsia" w:ascii="宋体" w:hAnsi="宋体" w:eastAsia="宋体" w:cs="宋体"/>
                <w:color w:val="auto"/>
                <w:sz w:val="18"/>
                <w:szCs w:val="18"/>
              </w:rPr>
              <w:t>序号</w:t>
            </w:r>
          </w:p>
        </w:tc>
        <w:tc>
          <w:tcPr>
            <w:tcW w:w="801" w:type="pct"/>
            <w:vMerge w:val="restart"/>
            <w:shd w:val="clear" w:color="auto" w:fill="auto"/>
            <w:vAlign w:val="center"/>
          </w:tcPr>
          <w:p w14:paraId="4B39896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项目名称</w:t>
            </w:r>
          </w:p>
        </w:tc>
        <w:tc>
          <w:tcPr>
            <w:tcW w:w="308" w:type="pct"/>
            <w:vMerge w:val="restart"/>
            <w:shd w:val="clear" w:color="auto" w:fill="auto"/>
            <w:vAlign w:val="center"/>
          </w:tcPr>
          <w:p w14:paraId="5045894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 合计 </w:t>
            </w:r>
          </w:p>
        </w:tc>
        <w:tc>
          <w:tcPr>
            <w:tcW w:w="3666" w:type="pct"/>
            <w:gridSpan w:val="12"/>
            <w:shd w:val="clear" w:color="auto" w:fill="auto"/>
            <w:vAlign w:val="center"/>
          </w:tcPr>
          <w:p w14:paraId="76C2FCB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计算期　</w:t>
            </w:r>
          </w:p>
        </w:tc>
      </w:tr>
      <w:tr w14:paraId="6A10B2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23" w:type="pct"/>
            <w:vMerge w:val="continue"/>
            <w:shd w:val="clear" w:color="auto" w:fill="auto"/>
            <w:vAlign w:val="center"/>
          </w:tcPr>
          <w:p w14:paraId="5F6D978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801" w:type="pct"/>
            <w:vMerge w:val="continue"/>
            <w:shd w:val="clear" w:color="auto" w:fill="auto"/>
            <w:vAlign w:val="center"/>
          </w:tcPr>
          <w:p w14:paraId="549AE143">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308" w:type="pct"/>
            <w:vMerge w:val="continue"/>
            <w:shd w:val="clear" w:color="auto" w:fill="auto"/>
            <w:vAlign w:val="center"/>
          </w:tcPr>
          <w:p w14:paraId="018663B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p>
        </w:tc>
        <w:tc>
          <w:tcPr>
            <w:tcW w:w="273" w:type="pct"/>
            <w:shd w:val="clear" w:color="auto" w:fill="auto"/>
            <w:vAlign w:val="center"/>
          </w:tcPr>
          <w:p w14:paraId="3915FA6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2033年</w:t>
            </w:r>
          </w:p>
        </w:tc>
        <w:tc>
          <w:tcPr>
            <w:tcW w:w="296" w:type="pct"/>
            <w:shd w:val="clear" w:color="auto" w:fill="auto"/>
            <w:vAlign w:val="center"/>
          </w:tcPr>
          <w:p w14:paraId="427B775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2034年</w:t>
            </w:r>
          </w:p>
        </w:tc>
        <w:tc>
          <w:tcPr>
            <w:tcW w:w="296" w:type="pct"/>
            <w:shd w:val="clear" w:color="auto" w:fill="auto"/>
            <w:vAlign w:val="center"/>
          </w:tcPr>
          <w:p w14:paraId="0E5FD07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2035年</w:t>
            </w:r>
          </w:p>
        </w:tc>
        <w:tc>
          <w:tcPr>
            <w:tcW w:w="296" w:type="pct"/>
            <w:shd w:val="clear" w:color="auto" w:fill="auto"/>
            <w:vAlign w:val="center"/>
          </w:tcPr>
          <w:p w14:paraId="238CB1D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2036年</w:t>
            </w:r>
          </w:p>
        </w:tc>
        <w:tc>
          <w:tcPr>
            <w:tcW w:w="296" w:type="pct"/>
            <w:shd w:val="clear" w:color="auto" w:fill="auto"/>
            <w:vAlign w:val="center"/>
          </w:tcPr>
          <w:p w14:paraId="062624F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2037年</w:t>
            </w:r>
          </w:p>
        </w:tc>
        <w:tc>
          <w:tcPr>
            <w:tcW w:w="296" w:type="pct"/>
            <w:shd w:val="clear" w:color="auto" w:fill="auto"/>
            <w:vAlign w:val="center"/>
          </w:tcPr>
          <w:p w14:paraId="10B8BE6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2038年</w:t>
            </w:r>
          </w:p>
        </w:tc>
        <w:tc>
          <w:tcPr>
            <w:tcW w:w="296" w:type="pct"/>
            <w:shd w:val="clear" w:color="auto" w:fill="auto"/>
            <w:vAlign w:val="center"/>
          </w:tcPr>
          <w:p w14:paraId="51DD906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2039年</w:t>
            </w:r>
          </w:p>
        </w:tc>
        <w:tc>
          <w:tcPr>
            <w:tcW w:w="296" w:type="pct"/>
            <w:shd w:val="clear" w:color="auto" w:fill="auto"/>
            <w:vAlign w:val="center"/>
          </w:tcPr>
          <w:p w14:paraId="028D71B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2040年</w:t>
            </w:r>
          </w:p>
        </w:tc>
        <w:tc>
          <w:tcPr>
            <w:tcW w:w="296" w:type="pct"/>
            <w:shd w:val="clear" w:color="auto" w:fill="auto"/>
            <w:vAlign w:val="center"/>
          </w:tcPr>
          <w:p w14:paraId="0876D0D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2041年</w:t>
            </w:r>
          </w:p>
        </w:tc>
        <w:tc>
          <w:tcPr>
            <w:tcW w:w="324" w:type="pct"/>
            <w:shd w:val="clear" w:color="auto" w:fill="auto"/>
            <w:vAlign w:val="center"/>
          </w:tcPr>
          <w:p w14:paraId="19C3EDA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2042年</w:t>
            </w:r>
          </w:p>
        </w:tc>
        <w:tc>
          <w:tcPr>
            <w:tcW w:w="326" w:type="pct"/>
            <w:shd w:val="clear" w:color="auto" w:fill="auto"/>
            <w:vAlign w:val="center"/>
          </w:tcPr>
          <w:p w14:paraId="09514F8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2043年</w:t>
            </w:r>
          </w:p>
        </w:tc>
        <w:tc>
          <w:tcPr>
            <w:tcW w:w="374" w:type="pct"/>
            <w:shd w:val="clear" w:color="auto" w:fill="auto"/>
            <w:vAlign w:val="center"/>
          </w:tcPr>
          <w:p w14:paraId="074CDA4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2044年</w:t>
            </w:r>
          </w:p>
        </w:tc>
      </w:tr>
      <w:tr w14:paraId="353DF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1" w:hRule="atLeast"/>
          <w:jc w:val="center"/>
        </w:trPr>
        <w:tc>
          <w:tcPr>
            <w:tcW w:w="223" w:type="pct"/>
            <w:shd w:val="clear" w:color="auto" w:fill="auto"/>
            <w:vAlign w:val="center"/>
          </w:tcPr>
          <w:p w14:paraId="4759867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w:t>
            </w:r>
          </w:p>
        </w:tc>
        <w:tc>
          <w:tcPr>
            <w:tcW w:w="801" w:type="pct"/>
            <w:shd w:val="clear" w:color="auto" w:fill="auto"/>
            <w:vAlign w:val="center"/>
          </w:tcPr>
          <w:p w14:paraId="36F58DD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项目收入</w:t>
            </w:r>
          </w:p>
        </w:tc>
        <w:tc>
          <w:tcPr>
            <w:tcW w:w="308" w:type="pct"/>
            <w:shd w:val="clear" w:color="auto" w:fill="auto"/>
            <w:vAlign w:val="center"/>
          </w:tcPr>
          <w:p w14:paraId="1FD6EB4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92,301.33 </w:t>
            </w:r>
          </w:p>
        </w:tc>
        <w:tc>
          <w:tcPr>
            <w:tcW w:w="273" w:type="pct"/>
            <w:shd w:val="clear" w:color="auto" w:fill="auto"/>
            <w:vAlign w:val="center"/>
          </w:tcPr>
          <w:p w14:paraId="410D595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4,792.67 </w:t>
            </w:r>
          </w:p>
        </w:tc>
        <w:tc>
          <w:tcPr>
            <w:tcW w:w="296" w:type="pct"/>
            <w:shd w:val="clear" w:color="auto" w:fill="auto"/>
            <w:vAlign w:val="center"/>
          </w:tcPr>
          <w:p w14:paraId="138DA44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4,884.88 </w:t>
            </w:r>
          </w:p>
        </w:tc>
        <w:tc>
          <w:tcPr>
            <w:tcW w:w="296" w:type="pct"/>
            <w:shd w:val="clear" w:color="auto" w:fill="auto"/>
            <w:vAlign w:val="center"/>
          </w:tcPr>
          <w:p w14:paraId="53C525F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4,978.88 </w:t>
            </w:r>
          </w:p>
        </w:tc>
        <w:tc>
          <w:tcPr>
            <w:tcW w:w="296" w:type="pct"/>
            <w:shd w:val="clear" w:color="auto" w:fill="auto"/>
            <w:vAlign w:val="center"/>
          </w:tcPr>
          <w:p w14:paraId="1B24B67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5,074.73 </w:t>
            </w:r>
          </w:p>
        </w:tc>
        <w:tc>
          <w:tcPr>
            <w:tcW w:w="296" w:type="pct"/>
            <w:shd w:val="clear" w:color="auto" w:fill="auto"/>
            <w:vAlign w:val="center"/>
          </w:tcPr>
          <w:p w14:paraId="537401A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5,172.52 </w:t>
            </w:r>
          </w:p>
        </w:tc>
        <w:tc>
          <w:tcPr>
            <w:tcW w:w="296" w:type="pct"/>
            <w:shd w:val="clear" w:color="auto" w:fill="auto"/>
            <w:vAlign w:val="center"/>
          </w:tcPr>
          <w:p w14:paraId="47F40C4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5,272.08 </w:t>
            </w:r>
          </w:p>
        </w:tc>
        <w:tc>
          <w:tcPr>
            <w:tcW w:w="296" w:type="pct"/>
            <w:shd w:val="clear" w:color="auto" w:fill="auto"/>
            <w:vAlign w:val="center"/>
          </w:tcPr>
          <w:p w14:paraId="1323E58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5,373.53 </w:t>
            </w:r>
          </w:p>
        </w:tc>
        <w:tc>
          <w:tcPr>
            <w:tcW w:w="296" w:type="pct"/>
            <w:shd w:val="clear" w:color="auto" w:fill="auto"/>
            <w:vAlign w:val="center"/>
          </w:tcPr>
          <w:p w14:paraId="2BFBE63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5,477.94 </w:t>
            </w:r>
          </w:p>
        </w:tc>
        <w:tc>
          <w:tcPr>
            <w:tcW w:w="296" w:type="pct"/>
            <w:shd w:val="clear" w:color="auto" w:fill="auto"/>
            <w:vAlign w:val="center"/>
          </w:tcPr>
          <w:p w14:paraId="37D6DCE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5,584.26 </w:t>
            </w:r>
          </w:p>
        </w:tc>
        <w:tc>
          <w:tcPr>
            <w:tcW w:w="324" w:type="pct"/>
            <w:shd w:val="clear" w:color="auto" w:fill="auto"/>
            <w:vAlign w:val="center"/>
          </w:tcPr>
          <w:p w14:paraId="1DDE438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5,692.99 </w:t>
            </w:r>
          </w:p>
        </w:tc>
        <w:tc>
          <w:tcPr>
            <w:tcW w:w="326" w:type="pct"/>
            <w:shd w:val="clear" w:color="auto" w:fill="auto"/>
            <w:vAlign w:val="center"/>
          </w:tcPr>
          <w:p w14:paraId="38B86E6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5,803.58 </w:t>
            </w:r>
          </w:p>
        </w:tc>
        <w:tc>
          <w:tcPr>
            <w:tcW w:w="374" w:type="pct"/>
            <w:shd w:val="clear" w:color="auto" w:fill="auto"/>
            <w:vAlign w:val="center"/>
          </w:tcPr>
          <w:p w14:paraId="1B1FFC9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5,916.56 </w:t>
            </w:r>
          </w:p>
        </w:tc>
      </w:tr>
      <w:tr w14:paraId="2CEAE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23" w:type="pct"/>
            <w:shd w:val="clear" w:color="auto" w:fill="auto"/>
            <w:vAlign w:val="center"/>
          </w:tcPr>
          <w:p w14:paraId="27B8934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2</w:t>
            </w:r>
          </w:p>
        </w:tc>
        <w:tc>
          <w:tcPr>
            <w:tcW w:w="801" w:type="pct"/>
            <w:shd w:val="clear" w:color="auto" w:fill="auto"/>
            <w:vAlign w:val="center"/>
          </w:tcPr>
          <w:p w14:paraId="51C3284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项目运营成本及税费支出</w:t>
            </w:r>
          </w:p>
        </w:tc>
        <w:tc>
          <w:tcPr>
            <w:tcW w:w="308" w:type="pct"/>
            <w:shd w:val="clear" w:color="auto" w:fill="auto"/>
            <w:vAlign w:val="center"/>
          </w:tcPr>
          <w:p w14:paraId="46F7147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24,543.97 </w:t>
            </w:r>
          </w:p>
        </w:tc>
        <w:tc>
          <w:tcPr>
            <w:tcW w:w="273" w:type="pct"/>
            <w:shd w:val="clear" w:color="auto" w:fill="auto"/>
            <w:vAlign w:val="center"/>
          </w:tcPr>
          <w:p w14:paraId="26FAA08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1,024.61 </w:t>
            </w:r>
          </w:p>
        </w:tc>
        <w:tc>
          <w:tcPr>
            <w:tcW w:w="296" w:type="pct"/>
            <w:shd w:val="clear" w:color="auto" w:fill="auto"/>
            <w:vAlign w:val="center"/>
          </w:tcPr>
          <w:p w14:paraId="0467A12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1,121.39 </w:t>
            </w:r>
          </w:p>
        </w:tc>
        <w:tc>
          <w:tcPr>
            <w:tcW w:w="296" w:type="pct"/>
            <w:shd w:val="clear" w:color="auto" w:fill="auto"/>
            <w:vAlign w:val="center"/>
          </w:tcPr>
          <w:p w14:paraId="2AC6A5E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1,155.70 </w:t>
            </w:r>
          </w:p>
        </w:tc>
        <w:tc>
          <w:tcPr>
            <w:tcW w:w="296" w:type="pct"/>
            <w:shd w:val="clear" w:color="auto" w:fill="auto"/>
            <w:vAlign w:val="center"/>
          </w:tcPr>
          <w:p w14:paraId="5EDA8D2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1,190.74 </w:t>
            </w:r>
          </w:p>
        </w:tc>
        <w:tc>
          <w:tcPr>
            <w:tcW w:w="296" w:type="pct"/>
            <w:shd w:val="clear" w:color="auto" w:fill="auto"/>
            <w:vAlign w:val="center"/>
          </w:tcPr>
          <w:p w14:paraId="5F67774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1,376.66 </w:t>
            </w:r>
          </w:p>
        </w:tc>
        <w:tc>
          <w:tcPr>
            <w:tcW w:w="296" w:type="pct"/>
            <w:shd w:val="clear" w:color="auto" w:fill="auto"/>
            <w:vAlign w:val="center"/>
          </w:tcPr>
          <w:p w14:paraId="07E38D2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1,645.50 </w:t>
            </w:r>
          </w:p>
        </w:tc>
        <w:tc>
          <w:tcPr>
            <w:tcW w:w="296" w:type="pct"/>
            <w:shd w:val="clear" w:color="auto" w:fill="auto"/>
            <w:vAlign w:val="center"/>
          </w:tcPr>
          <w:p w14:paraId="30ADDC8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1,690.25 </w:t>
            </w:r>
          </w:p>
        </w:tc>
        <w:tc>
          <w:tcPr>
            <w:tcW w:w="296" w:type="pct"/>
            <w:shd w:val="clear" w:color="auto" w:fill="auto"/>
            <w:vAlign w:val="center"/>
          </w:tcPr>
          <w:p w14:paraId="5309956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1,736.31 </w:t>
            </w:r>
          </w:p>
        </w:tc>
        <w:tc>
          <w:tcPr>
            <w:tcW w:w="296" w:type="pct"/>
            <w:shd w:val="clear" w:color="auto" w:fill="auto"/>
            <w:vAlign w:val="center"/>
          </w:tcPr>
          <w:p w14:paraId="0E00879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1,783.30 </w:t>
            </w:r>
          </w:p>
        </w:tc>
        <w:tc>
          <w:tcPr>
            <w:tcW w:w="324" w:type="pct"/>
            <w:shd w:val="clear" w:color="auto" w:fill="auto"/>
            <w:vAlign w:val="center"/>
          </w:tcPr>
          <w:p w14:paraId="650283D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1,836.39 </w:t>
            </w:r>
          </w:p>
        </w:tc>
        <w:tc>
          <w:tcPr>
            <w:tcW w:w="326" w:type="pct"/>
            <w:shd w:val="clear" w:color="auto" w:fill="auto"/>
            <w:vAlign w:val="center"/>
          </w:tcPr>
          <w:p w14:paraId="721C867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2,000.40 </w:t>
            </w:r>
          </w:p>
        </w:tc>
        <w:tc>
          <w:tcPr>
            <w:tcW w:w="374" w:type="pct"/>
            <w:shd w:val="clear" w:color="auto" w:fill="auto"/>
            <w:vAlign w:val="center"/>
          </w:tcPr>
          <w:p w14:paraId="42F5508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2,157.91 </w:t>
            </w:r>
          </w:p>
        </w:tc>
      </w:tr>
      <w:tr w14:paraId="19FE9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324AD3E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w:t>
            </w:r>
          </w:p>
        </w:tc>
        <w:tc>
          <w:tcPr>
            <w:tcW w:w="801" w:type="pct"/>
            <w:shd w:val="clear" w:color="auto" w:fill="auto"/>
            <w:vAlign w:val="center"/>
          </w:tcPr>
          <w:p w14:paraId="79FE1E6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项目可用于归还借款本息的资金</w:t>
            </w:r>
          </w:p>
        </w:tc>
        <w:tc>
          <w:tcPr>
            <w:tcW w:w="308" w:type="pct"/>
            <w:shd w:val="clear" w:color="auto" w:fill="auto"/>
            <w:vAlign w:val="center"/>
          </w:tcPr>
          <w:p w14:paraId="610F31F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67,757.36 </w:t>
            </w:r>
          </w:p>
        </w:tc>
        <w:tc>
          <w:tcPr>
            <w:tcW w:w="273" w:type="pct"/>
            <w:shd w:val="clear" w:color="auto" w:fill="auto"/>
            <w:vAlign w:val="center"/>
          </w:tcPr>
          <w:p w14:paraId="1533F44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3,768.06 </w:t>
            </w:r>
          </w:p>
        </w:tc>
        <w:tc>
          <w:tcPr>
            <w:tcW w:w="296" w:type="pct"/>
            <w:shd w:val="clear" w:color="auto" w:fill="auto"/>
            <w:vAlign w:val="center"/>
          </w:tcPr>
          <w:p w14:paraId="0DD26A0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3,763.49 </w:t>
            </w:r>
          </w:p>
        </w:tc>
        <w:tc>
          <w:tcPr>
            <w:tcW w:w="296" w:type="pct"/>
            <w:shd w:val="clear" w:color="auto" w:fill="auto"/>
            <w:vAlign w:val="center"/>
          </w:tcPr>
          <w:p w14:paraId="62BD833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3,823.19 </w:t>
            </w:r>
          </w:p>
        </w:tc>
        <w:tc>
          <w:tcPr>
            <w:tcW w:w="296" w:type="pct"/>
            <w:shd w:val="clear" w:color="auto" w:fill="auto"/>
            <w:vAlign w:val="center"/>
          </w:tcPr>
          <w:p w14:paraId="2C142F5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3,883.99 </w:t>
            </w:r>
          </w:p>
        </w:tc>
        <w:tc>
          <w:tcPr>
            <w:tcW w:w="296" w:type="pct"/>
            <w:shd w:val="clear" w:color="auto" w:fill="auto"/>
            <w:vAlign w:val="center"/>
          </w:tcPr>
          <w:p w14:paraId="53D6BA4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3,795.87 </w:t>
            </w:r>
          </w:p>
        </w:tc>
        <w:tc>
          <w:tcPr>
            <w:tcW w:w="296" w:type="pct"/>
            <w:shd w:val="clear" w:color="auto" w:fill="auto"/>
            <w:vAlign w:val="center"/>
          </w:tcPr>
          <w:p w14:paraId="1580B53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3,626.58 </w:t>
            </w:r>
          </w:p>
        </w:tc>
        <w:tc>
          <w:tcPr>
            <w:tcW w:w="296" w:type="pct"/>
            <w:shd w:val="clear" w:color="auto" w:fill="auto"/>
            <w:vAlign w:val="center"/>
          </w:tcPr>
          <w:p w14:paraId="01EE30E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3,683.28 </w:t>
            </w:r>
          </w:p>
        </w:tc>
        <w:tc>
          <w:tcPr>
            <w:tcW w:w="296" w:type="pct"/>
            <w:shd w:val="clear" w:color="auto" w:fill="auto"/>
            <w:vAlign w:val="center"/>
          </w:tcPr>
          <w:p w14:paraId="4A53BEB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3,741.62 </w:t>
            </w:r>
          </w:p>
        </w:tc>
        <w:tc>
          <w:tcPr>
            <w:tcW w:w="296" w:type="pct"/>
            <w:shd w:val="clear" w:color="auto" w:fill="auto"/>
            <w:vAlign w:val="center"/>
          </w:tcPr>
          <w:p w14:paraId="2ABD0A8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3,800.97 </w:t>
            </w:r>
          </w:p>
        </w:tc>
        <w:tc>
          <w:tcPr>
            <w:tcW w:w="324" w:type="pct"/>
            <w:shd w:val="clear" w:color="auto" w:fill="auto"/>
            <w:vAlign w:val="center"/>
          </w:tcPr>
          <w:p w14:paraId="45405C0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3,856.60 </w:t>
            </w:r>
          </w:p>
        </w:tc>
        <w:tc>
          <w:tcPr>
            <w:tcW w:w="326" w:type="pct"/>
            <w:shd w:val="clear" w:color="auto" w:fill="auto"/>
            <w:vAlign w:val="center"/>
          </w:tcPr>
          <w:p w14:paraId="4749C07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3,803.18 </w:t>
            </w:r>
          </w:p>
        </w:tc>
        <w:tc>
          <w:tcPr>
            <w:tcW w:w="374" w:type="pct"/>
            <w:shd w:val="clear" w:color="auto" w:fill="auto"/>
            <w:vAlign w:val="center"/>
          </w:tcPr>
          <w:p w14:paraId="7540781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3,758.65 </w:t>
            </w:r>
          </w:p>
        </w:tc>
      </w:tr>
      <w:tr w14:paraId="166CEA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4D4D5DE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3.1.1</w:t>
            </w:r>
          </w:p>
        </w:tc>
        <w:tc>
          <w:tcPr>
            <w:tcW w:w="801" w:type="pct"/>
            <w:shd w:val="clear" w:color="auto" w:fill="auto"/>
            <w:vAlign w:val="center"/>
          </w:tcPr>
          <w:p w14:paraId="6E46805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可用于归还专项债券本息的资金</w:t>
            </w:r>
          </w:p>
        </w:tc>
        <w:tc>
          <w:tcPr>
            <w:tcW w:w="308" w:type="pct"/>
            <w:shd w:val="clear" w:color="auto" w:fill="auto"/>
            <w:vAlign w:val="center"/>
          </w:tcPr>
          <w:p w14:paraId="5802E83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67,757.36 </w:t>
            </w:r>
          </w:p>
        </w:tc>
        <w:tc>
          <w:tcPr>
            <w:tcW w:w="273" w:type="pct"/>
            <w:shd w:val="clear" w:color="auto" w:fill="auto"/>
            <w:vAlign w:val="center"/>
          </w:tcPr>
          <w:p w14:paraId="048BD93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3,768.06 </w:t>
            </w:r>
          </w:p>
        </w:tc>
        <w:tc>
          <w:tcPr>
            <w:tcW w:w="296" w:type="pct"/>
            <w:shd w:val="clear" w:color="auto" w:fill="auto"/>
            <w:vAlign w:val="center"/>
          </w:tcPr>
          <w:p w14:paraId="3DD6321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3,763.49 </w:t>
            </w:r>
          </w:p>
        </w:tc>
        <w:tc>
          <w:tcPr>
            <w:tcW w:w="296" w:type="pct"/>
            <w:shd w:val="clear" w:color="auto" w:fill="auto"/>
            <w:vAlign w:val="center"/>
          </w:tcPr>
          <w:p w14:paraId="482803A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3,823.19 </w:t>
            </w:r>
          </w:p>
        </w:tc>
        <w:tc>
          <w:tcPr>
            <w:tcW w:w="296" w:type="pct"/>
            <w:shd w:val="clear" w:color="auto" w:fill="auto"/>
            <w:vAlign w:val="center"/>
          </w:tcPr>
          <w:p w14:paraId="0346B4F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3,883.99 </w:t>
            </w:r>
          </w:p>
        </w:tc>
        <w:tc>
          <w:tcPr>
            <w:tcW w:w="296" w:type="pct"/>
            <w:shd w:val="clear" w:color="auto" w:fill="auto"/>
            <w:vAlign w:val="center"/>
          </w:tcPr>
          <w:p w14:paraId="391A085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3,795.87 </w:t>
            </w:r>
          </w:p>
        </w:tc>
        <w:tc>
          <w:tcPr>
            <w:tcW w:w="296" w:type="pct"/>
            <w:shd w:val="clear" w:color="auto" w:fill="auto"/>
            <w:vAlign w:val="center"/>
          </w:tcPr>
          <w:p w14:paraId="1064EEE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3,626.58 </w:t>
            </w:r>
          </w:p>
        </w:tc>
        <w:tc>
          <w:tcPr>
            <w:tcW w:w="296" w:type="pct"/>
            <w:shd w:val="clear" w:color="auto" w:fill="auto"/>
            <w:vAlign w:val="center"/>
          </w:tcPr>
          <w:p w14:paraId="7AB01D8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3,683.28 </w:t>
            </w:r>
          </w:p>
        </w:tc>
        <w:tc>
          <w:tcPr>
            <w:tcW w:w="296" w:type="pct"/>
            <w:shd w:val="clear" w:color="auto" w:fill="auto"/>
            <w:vAlign w:val="center"/>
          </w:tcPr>
          <w:p w14:paraId="11BE9BA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3,741.62 </w:t>
            </w:r>
          </w:p>
        </w:tc>
        <w:tc>
          <w:tcPr>
            <w:tcW w:w="296" w:type="pct"/>
            <w:shd w:val="clear" w:color="auto" w:fill="auto"/>
            <w:vAlign w:val="center"/>
          </w:tcPr>
          <w:p w14:paraId="34D8D56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3,800.97 </w:t>
            </w:r>
          </w:p>
        </w:tc>
        <w:tc>
          <w:tcPr>
            <w:tcW w:w="324" w:type="pct"/>
            <w:shd w:val="clear" w:color="auto" w:fill="auto"/>
            <w:vAlign w:val="center"/>
          </w:tcPr>
          <w:p w14:paraId="7534094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3,856.60 </w:t>
            </w:r>
          </w:p>
        </w:tc>
        <w:tc>
          <w:tcPr>
            <w:tcW w:w="326" w:type="pct"/>
            <w:shd w:val="clear" w:color="auto" w:fill="auto"/>
            <w:vAlign w:val="center"/>
          </w:tcPr>
          <w:p w14:paraId="4740B1B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3,803.18 </w:t>
            </w:r>
          </w:p>
        </w:tc>
        <w:tc>
          <w:tcPr>
            <w:tcW w:w="374" w:type="pct"/>
            <w:shd w:val="clear" w:color="auto" w:fill="auto"/>
            <w:vAlign w:val="center"/>
          </w:tcPr>
          <w:p w14:paraId="17F29F0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3,758.65 </w:t>
            </w:r>
          </w:p>
        </w:tc>
      </w:tr>
      <w:tr w14:paraId="4EB5EC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223" w:type="pct"/>
            <w:shd w:val="clear" w:color="auto" w:fill="auto"/>
            <w:vAlign w:val="center"/>
          </w:tcPr>
          <w:p w14:paraId="7B8351E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3.1.2</w:t>
            </w:r>
          </w:p>
        </w:tc>
        <w:tc>
          <w:tcPr>
            <w:tcW w:w="801" w:type="pct"/>
            <w:shd w:val="clear" w:color="auto" w:fill="auto"/>
            <w:vAlign w:val="center"/>
          </w:tcPr>
          <w:p w14:paraId="4677420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可归还专项债券本息资金占比（%）</w:t>
            </w:r>
          </w:p>
        </w:tc>
        <w:tc>
          <w:tcPr>
            <w:tcW w:w="308" w:type="pct"/>
            <w:shd w:val="clear" w:color="auto" w:fill="auto"/>
            <w:vAlign w:val="center"/>
          </w:tcPr>
          <w:p w14:paraId="4E21B5B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73" w:type="pct"/>
            <w:shd w:val="clear" w:color="auto" w:fill="auto"/>
            <w:vAlign w:val="center"/>
          </w:tcPr>
          <w:p w14:paraId="11A844F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514E699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40AE8E8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3053DDC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0F9F648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7B1B2ED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2C30990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4E5158A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296" w:type="pct"/>
            <w:shd w:val="clear" w:color="auto" w:fill="auto"/>
            <w:vAlign w:val="center"/>
          </w:tcPr>
          <w:p w14:paraId="47F9DAD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324" w:type="pct"/>
            <w:shd w:val="clear" w:color="auto" w:fill="auto"/>
            <w:vAlign w:val="center"/>
          </w:tcPr>
          <w:p w14:paraId="477210A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326" w:type="pct"/>
            <w:shd w:val="clear" w:color="auto" w:fill="auto"/>
            <w:vAlign w:val="center"/>
          </w:tcPr>
          <w:p w14:paraId="58EBFFB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c>
          <w:tcPr>
            <w:tcW w:w="374" w:type="pct"/>
            <w:shd w:val="clear" w:color="auto" w:fill="auto"/>
            <w:vAlign w:val="center"/>
          </w:tcPr>
          <w:p w14:paraId="63B0E21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100%</w:t>
            </w:r>
          </w:p>
        </w:tc>
      </w:tr>
      <w:tr w14:paraId="63892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001AFFB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3.2.1</w:t>
            </w:r>
          </w:p>
        </w:tc>
        <w:tc>
          <w:tcPr>
            <w:tcW w:w="801" w:type="pct"/>
            <w:shd w:val="clear" w:color="auto" w:fill="auto"/>
            <w:vAlign w:val="center"/>
          </w:tcPr>
          <w:p w14:paraId="041BD7A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可用于归还市场融资本息的资金</w:t>
            </w:r>
          </w:p>
        </w:tc>
        <w:tc>
          <w:tcPr>
            <w:tcW w:w="308" w:type="pct"/>
            <w:shd w:val="clear" w:color="auto" w:fill="auto"/>
            <w:vAlign w:val="center"/>
          </w:tcPr>
          <w:p w14:paraId="245CE45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73" w:type="pct"/>
            <w:shd w:val="clear" w:color="auto" w:fill="auto"/>
            <w:vAlign w:val="center"/>
          </w:tcPr>
          <w:p w14:paraId="7B76A85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B39B6D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869446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21EB51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52EE70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7EB936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AA0426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53F810B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8C5BEB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4" w:type="pct"/>
            <w:shd w:val="clear" w:color="auto" w:fill="auto"/>
            <w:vAlign w:val="center"/>
          </w:tcPr>
          <w:p w14:paraId="06CB8AF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6" w:type="pct"/>
            <w:shd w:val="clear" w:color="auto" w:fill="auto"/>
            <w:vAlign w:val="center"/>
          </w:tcPr>
          <w:p w14:paraId="0EB6761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74" w:type="pct"/>
            <w:shd w:val="clear" w:color="auto" w:fill="auto"/>
            <w:vAlign w:val="center"/>
          </w:tcPr>
          <w:p w14:paraId="1C05ED2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3A6F5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5236C73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3.2.2</w:t>
            </w:r>
          </w:p>
        </w:tc>
        <w:tc>
          <w:tcPr>
            <w:tcW w:w="801" w:type="pct"/>
            <w:shd w:val="clear" w:color="auto" w:fill="auto"/>
            <w:vAlign w:val="center"/>
          </w:tcPr>
          <w:p w14:paraId="0B6CE6C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可归还市场化融资本息资金占比</w:t>
            </w:r>
          </w:p>
        </w:tc>
        <w:tc>
          <w:tcPr>
            <w:tcW w:w="308" w:type="pct"/>
            <w:shd w:val="clear" w:color="auto" w:fill="auto"/>
            <w:vAlign w:val="center"/>
          </w:tcPr>
          <w:p w14:paraId="3519EDD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73" w:type="pct"/>
            <w:shd w:val="clear" w:color="auto" w:fill="auto"/>
            <w:vAlign w:val="center"/>
          </w:tcPr>
          <w:p w14:paraId="166F37F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08DD2C8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398B8F9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6484853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704CBD6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1C547C3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697D4D6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24AE124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296" w:type="pct"/>
            <w:shd w:val="clear" w:color="auto" w:fill="auto"/>
            <w:vAlign w:val="center"/>
          </w:tcPr>
          <w:p w14:paraId="78011FF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324" w:type="pct"/>
            <w:shd w:val="clear" w:color="auto" w:fill="auto"/>
            <w:vAlign w:val="center"/>
          </w:tcPr>
          <w:p w14:paraId="30422C5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326" w:type="pct"/>
            <w:shd w:val="clear" w:color="auto" w:fill="auto"/>
            <w:vAlign w:val="center"/>
          </w:tcPr>
          <w:p w14:paraId="1087574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c>
          <w:tcPr>
            <w:tcW w:w="374" w:type="pct"/>
            <w:shd w:val="clear" w:color="auto" w:fill="auto"/>
            <w:vAlign w:val="center"/>
          </w:tcPr>
          <w:p w14:paraId="31CE84C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0%</w:t>
            </w:r>
          </w:p>
        </w:tc>
      </w:tr>
      <w:tr w14:paraId="5EB25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223" w:type="pct"/>
            <w:shd w:val="clear" w:color="auto" w:fill="auto"/>
            <w:vAlign w:val="center"/>
          </w:tcPr>
          <w:p w14:paraId="067C4F3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801" w:type="pct"/>
            <w:shd w:val="clear" w:color="auto" w:fill="auto"/>
            <w:vAlign w:val="center"/>
          </w:tcPr>
          <w:p w14:paraId="055E256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融资平衡计算</w:t>
            </w:r>
          </w:p>
        </w:tc>
        <w:tc>
          <w:tcPr>
            <w:tcW w:w="308" w:type="pct"/>
            <w:shd w:val="clear" w:color="auto" w:fill="auto"/>
            <w:vAlign w:val="center"/>
          </w:tcPr>
          <w:p w14:paraId="380E331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73" w:type="pct"/>
            <w:shd w:val="clear" w:color="auto" w:fill="auto"/>
            <w:vAlign w:val="center"/>
          </w:tcPr>
          <w:p w14:paraId="454FAC98">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6050D5D2">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6D2BEE0F">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50CE27E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08C626A7">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62E30C5D">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5DC5EE9E">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2780623F">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296" w:type="pct"/>
            <w:shd w:val="clear" w:color="auto" w:fill="auto"/>
            <w:vAlign w:val="center"/>
          </w:tcPr>
          <w:p w14:paraId="45ADEC37">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324" w:type="pct"/>
            <w:shd w:val="clear" w:color="auto" w:fill="auto"/>
            <w:vAlign w:val="center"/>
          </w:tcPr>
          <w:p w14:paraId="4DDA6F93">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326" w:type="pct"/>
            <w:shd w:val="clear" w:color="auto" w:fill="auto"/>
            <w:vAlign w:val="center"/>
          </w:tcPr>
          <w:p w14:paraId="268E09A5">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c>
          <w:tcPr>
            <w:tcW w:w="374" w:type="pct"/>
            <w:shd w:val="clear" w:color="auto" w:fill="auto"/>
            <w:vAlign w:val="center"/>
          </w:tcPr>
          <w:p w14:paraId="0568DCBA">
            <w:pPr>
              <w:keepNext w:val="0"/>
              <w:keepLines w:val="0"/>
              <w:pageBreakBefore w:val="0"/>
              <w:widowControl/>
              <w:kinsoku/>
              <w:wordWrap/>
              <w:overflowPunct/>
              <w:topLinePunct w:val="0"/>
              <w:autoSpaceDE/>
              <w:autoSpaceDN/>
              <w:bidi w:val="0"/>
              <w:adjustRightInd/>
              <w:snapToGrid/>
              <w:spacing w:line="240" w:lineRule="exact"/>
              <w:ind w:firstLine="0" w:firstLineChars="0"/>
              <w:textAlignment w:val="auto"/>
              <w:rPr>
                <w:rFonts w:ascii="宋体" w:hAnsi="宋体" w:eastAsia="宋体" w:cs="宋体"/>
                <w:color w:val="auto"/>
                <w:sz w:val="18"/>
                <w:szCs w:val="18"/>
              </w:rPr>
            </w:pPr>
            <w:r>
              <w:rPr>
                <w:rFonts w:hint="eastAsia" w:ascii="宋体" w:hAnsi="宋体" w:eastAsia="宋体" w:cs="宋体"/>
                <w:color w:val="auto"/>
                <w:sz w:val="18"/>
                <w:szCs w:val="18"/>
              </w:rPr>
              <w:t>　</w:t>
            </w:r>
          </w:p>
        </w:tc>
      </w:tr>
      <w:tr w14:paraId="0546D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1BA9A8E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w:t>
            </w:r>
          </w:p>
        </w:tc>
        <w:tc>
          <w:tcPr>
            <w:tcW w:w="801" w:type="pct"/>
            <w:shd w:val="clear" w:color="auto" w:fill="auto"/>
            <w:vAlign w:val="center"/>
          </w:tcPr>
          <w:p w14:paraId="045968E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还本付息金额</w:t>
            </w:r>
          </w:p>
        </w:tc>
        <w:tc>
          <w:tcPr>
            <w:tcW w:w="308" w:type="pct"/>
            <w:shd w:val="clear" w:color="auto" w:fill="auto"/>
            <w:vAlign w:val="center"/>
          </w:tcPr>
          <w:p w14:paraId="6DF872E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54,000.00 </w:t>
            </w:r>
          </w:p>
        </w:tc>
        <w:tc>
          <w:tcPr>
            <w:tcW w:w="273" w:type="pct"/>
            <w:shd w:val="clear" w:color="auto" w:fill="auto"/>
            <w:vAlign w:val="center"/>
          </w:tcPr>
          <w:p w14:paraId="6CFA719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1E4887F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051BDEE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6E88617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5848AF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506C847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159EFB8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DD409C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32EA535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324" w:type="pct"/>
            <w:shd w:val="clear" w:color="auto" w:fill="auto"/>
            <w:vAlign w:val="center"/>
          </w:tcPr>
          <w:p w14:paraId="5726949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13,180.00 </w:t>
            </w:r>
          </w:p>
        </w:tc>
        <w:tc>
          <w:tcPr>
            <w:tcW w:w="326" w:type="pct"/>
            <w:shd w:val="clear" w:color="auto" w:fill="auto"/>
            <w:vAlign w:val="center"/>
          </w:tcPr>
          <w:p w14:paraId="45B29F1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10,720.00 </w:t>
            </w:r>
          </w:p>
        </w:tc>
        <w:tc>
          <w:tcPr>
            <w:tcW w:w="374" w:type="pct"/>
            <w:shd w:val="clear" w:color="auto" w:fill="auto"/>
            <w:vAlign w:val="center"/>
          </w:tcPr>
          <w:p w14:paraId="492DE8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8,320.00 </w:t>
            </w:r>
          </w:p>
        </w:tc>
      </w:tr>
      <w:tr w14:paraId="1BF19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29B99B8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w:t>
            </w:r>
          </w:p>
        </w:tc>
        <w:tc>
          <w:tcPr>
            <w:tcW w:w="801" w:type="pct"/>
            <w:shd w:val="clear" w:color="auto" w:fill="auto"/>
            <w:vAlign w:val="center"/>
          </w:tcPr>
          <w:p w14:paraId="13DD36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专项债券还本付息</w:t>
            </w:r>
          </w:p>
        </w:tc>
        <w:tc>
          <w:tcPr>
            <w:tcW w:w="308" w:type="pct"/>
            <w:shd w:val="clear" w:color="auto" w:fill="auto"/>
            <w:vAlign w:val="center"/>
          </w:tcPr>
          <w:p w14:paraId="1BA6628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54,000.00 </w:t>
            </w:r>
          </w:p>
        </w:tc>
        <w:tc>
          <w:tcPr>
            <w:tcW w:w="273" w:type="pct"/>
            <w:shd w:val="clear" w:color="auto" w:fill="auto"/>
            <w:vAlign w:val="center"/>
          </w:tcPr>
          <w:p w14:paraId="0F16D40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6FDBCBF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1415AAF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A95519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3B7F64A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9662AF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143505F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5D4A6F9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29B039C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324" w:type="pct"/>
            <w:shd w:val="clear" w:color="auto" w:fill="auto"/>
            <w:vAlign w:val="center"/>
          </w:tcPr>
          <w:p w14:paraId="4D979A1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13,180.00 </w:t>
            </w:r>
          </w:p>
        </w:tc>
        <w:tc>
          <w:tcPr>
            <w:tcW w:w="326" w:type="pct"/>
            <w:shd w:val="clear" w:color="auto" w:fill="auto"/>
            <w:vAlign w:val="center"/>
          </w:tcPr>
          <w:p w14:paraId="719D49B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10,720.00 </w:t>
            </w:r>
          </w:p>
        </w:tc>
        <w:tc>
          <w:tcPr>
            <w:tcW w:w="374" w:type="pct"/>
            <w:shd w:val="clear" w:color="auto" w:fill="auto"/>
            <w:vAlign w:val="center"/>
          </w:tcPr>
          <w:p w14:paraId="51CCD9C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8,320.00 </w:t>
            </w:r>
          </w:p>
        </w:tc>
      </w:tr>
      <w:tr w14:paraId="5EF1A8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4FC5859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4.1.1</w:t>
            </w:r>
          </w:p>
        </w:tc>
        <w:tc>
          <w:tcPr>
            <w:tcW w:w="801" w:type="pct"/>
            <w:shd w:val="clear" w:color="auto" w:fill="auto"/>
            <w:vAlign w:val="center"/>
          </w:tcPr>
          <w:p w14:paraId="1941238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专项债券利息</w:t>
            </w:r>
          </w:p>
        </w:tc>
        <w:tc>
          <w:tcPr>
            <w:tcW w:w="308" w:type="pct"/>
            <w:shd w:val="clear" w:color="auto" w:fill="auto"/>
            <w:vAlign w:val="center"/>
          </w:tcPr>
          <w:p w14:paraId="45F82FB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24,000.00 </w:t>
            </w:r>
          </w:p>
        </w:tc>
        <w:tc>
          <w:tcPr>
            <w:tcW w:w="273" w:type="pct"/>
            <w:shd w:val="clear" w:color="auto" w:fill="auto"/>
            <w:vAlign w:val="center"/>
          </w:tcPr>
          <w:p w14:paraId="583CA8A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51DC34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7731B5A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7CCB76C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0EA228B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18D7F5D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7B2B66B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41DD67E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296" w:type="pct"/>
            <w:shd w:val="clear" w:color="auto" w:fill="auto"/>
            <w:vAlign w:val="center"/>
          </w:tcPr>
          <w:p w14:paraId="37B4718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 </w:t>
            </w:r>
          </w:p>
        </w:tc>
        <w:tc>
          <w:tcPr>
            <w:tcW w:w="324" w:type="pct"/>
            <w:shd w:val="clear" w:color="auto" w:fill="auto"/>
            <w:vAlign w:val="center"/>
          </w:tcPr>
          <w:p w14:paraId="10A50D3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1,180.00 </w:t>
            </w:r>
          </w:p>
        </w:tc>
        <w:tc>
          <w:tcPr>
            <w:tcW w:w="326" w:type="pct"/>
            <w:shd w:val="clear" w:color="auto" w:fill="auto"/>
            <w:vAlign w:val="center"/>
          </w:tcPr>
          <w:p w14:paraId="610FF80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720.00 </w:t>
            </w:r>
          </w:p>
        </w:tc>
        <w:tc>
          <w:tcPr>
            <w:tcW w:w="374" w:type="pct"/>
            <w:shd w:val="clear" w:color="auto" w:fill="auto"/>
            <w:vAlign w:val="center"/>
          </w:tcPr>
          <w:p w14:paraId="0F597AF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320.00 </w:t>
            </w:r>
          </w:p>
        </w:tc>
      </w:tr>
      <w:tr w14:paraId="4F83D3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23" w:type="pct"/>
            <w:shd w:val="clear" w:color="auto" w:fill="auto"/>
            <w:vAlign w:val="center"/>
          </w:tcPr>
          <w:p w14:paraId="458FD2E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4.1.2</w:t>
            </w:r>
          </w:p>
        </w:tc>
        <w:tc>
          <w:tcPr>
            <w:tcW w:w="801" w:type="pct"/>
            <w:shd w:val="clear" w:color="auto" w:fill="auto"/>
            <w:vAlign w:val="center"/>
          </w:tcPr>
          <w:p w14:paraId="38E816D8">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专项债券还本</w:t>
            </w:r>
          </w:p>
        </w:tc>
        <w:tc>
          <w:tcPr>
            <w:tcW w:w="308" w:type="pct"/>
            <w:shd w:val="clear" w:color="auto" w:fill="auto"/>
            <w:vAlign w:val="center"/>
          </w:tcPr>
          <w:p w14:paraId="6618A9D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30,000.00 </w:t>
            </w:r>
          </w:p>
        </w:tc>
        <w:tc>
          <w:tcPr>
            <w:tcW w:w="273" w:type="pct"/>
            <w:shd w:val="clear" w:color="auto" w:fill="auto"/>
            <w:vAlign w:val="center"/>
          </w:tcPr>
          <w:p w14:paraId="2681C13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CD03A6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2DD2FF2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6D5FA4A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2A21C83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A168B8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B49310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F925E1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65C16B7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4" w:type="pct"/>
            <w:shd w:val="clear" w:color="auto" w:fill="auto"/>
            <w:vAlign w:val="center"/>
          </w:tcPr>
          <w:p w14:paraId="5ED44A6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12,000.00 </w:t>
            </w:r>
          </w:p>
        </w:tc>
        <w:tc>
          <w:tcPr>
            <w:tcW w:w="326" w:type="pct"/>
            <w:shd w:val="clear" w:color="auto" w:fill="auto"/>
            <w:vAlign w:val="center"/>
          </w:tcPr>
          <w:p w14:paraId="25BC90D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10,000.00 </w:t>
            </w:r>
          </w:p>
        </w:tc>
        <w:tc>
          <w:tcPr>
            <w:tcW w:w="374" w:type="pct"/>
            <w:shd w:val="clear" w:color="auto" w:fill="auto"/>
            <w:vAlign w:val="center"/>
          </w:tcPr>
          <w:p w14:paraId="5397717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8,000.00 </w:t>
            </w:r>
          </w:p>
        </w:tc>
      </w:tr>
      <w:tr w14:paraId="12CC3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223" w:type="pct"/>
            <w:shd w:val="clear" w:color="auto" w:fill="auto"/>
            <w:vAlign w:val="center"/>
          </w:tcPr>
          <w:p w14:paraId="6418209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w:t>
            </w:r>
          </w:p>
        </w:tc>
        <w:tc>
          <w:tcPr>
            <w:tcW w:w="801" w:type="pct"/>
            <w:shd w:val="clear" w:color="auto" w:fill="auto"/>
            <w:vAlign w:val="center"/>
          </w:tcPr>
          <w:p w14:paraId="6E97603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市场化融资还本付息</w:t>
            </w:r>
          </w:p>
        </w:tc>
        <w:tc>
          <w:tcPr>
            <w:tcW w:w="308" w:type="pct"/>
            <w:shd w:val="clear" w:color="auto" w:fill="auto"/>
            <w:vAlign w:val="center"/>
          </w:tcPr>
          <w:p w14:paraId="209127E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73" w:type="pct"/>
            <w:shd w:val="clear" w:color="auto" w:fill="auto"/>
            <w:vAlign w:val="center"/>
          </w:tcPr>
          <w:p w14:paraId="4290B81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59C18D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62F0F68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59A1B4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2A92E27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7521238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3D6F860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3003D48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FACB43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4" w:type="pct"/>
            <w:shd w:val="clear" w:color="auto" w:fill="auto"/>
            <w:vAlign w:val="center"/>
          </w:tcPr>
          <w:p w14:paraId="52EAA0A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6" w:type="pct"/>
            <w:shd w:val="clear" w:color="auto" w:fill="auto"/>
            <w:vAlign w:val="center"/>
          </w:tcPr>
          <w:p w14:paraId="234F7F33">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74" w:type="pct"/>
            <w:shd w:val="clear" w:color="auto" w:fill="auto"/>
            <w:vAlign w:val="center"/>
          </w:tcPr>
          <w:p w14:paraId="2CDCFC2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1F20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223" w:type="pct"/>
            <w:shd w:val="clear" w:color="auto" w:fill="auto"/>
            <w:vAlign w:val="center"/>
          </w:tcPr>
          <w:p w14:paraId="1608596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4.2.1</w:t>
            </w:r>
          </w:p>
        </w:tc>
        <w:tc>
          <w:tcPr>
            <w:tcW w:w="801" w:type="pct"/>
            <w:shd w:val="clear" w:color="auto" w:fill="auto"/>
            <w:vAlign w:val="center"/>
          </w:tcPr>
          <w:p w14:paraId="2D85559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运营期市场化融资利息</w:t>
            </w:r>
          </w:p>
        </w:tc>
        <w:tc>
          <w:tcPr>
            <w:tcW w:w="308" w:type="pct"/>
            <w:shd w:val="clear" w:color="auto" w:fill="auto"/>
            <w:vAlign w:val="center"/>
          </w:tcPr>
          <w:p w14:paraId="57748D1B">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73" w:type="pct"/>
            <w:shd w:val="clear" w:color="auto" w:fill="auto"/>
            <w:vAlign w:val="center"/>
          </w:tcPr>
          <w:p w14:paraId="29F8E50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3CD4C45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24D207D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79FFB88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EE891F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65ACB9B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2D9582A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330AF979">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31CD710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4" w:type="pct"/>
            <w:shd w:val="clear" w:color="auto" w:fill="auto"/>
            <w:vAlign w:val="center"/>
          </w:tcPr>
          <w:p w14:paraId="1CAC29C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6" w:type="pct"/>
            <w:shd w:val="clear" w:color="auto" w:fill="auto"/>
            <w:vAlign w:val="center"/>
          </w:tcPr>
          <w:p w14:paraId="164835EC">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74" w:type="pct"/>
            <w:shd w:val="clear" w:color="auto" w:fill="auto"/>
            <w:vAlign w:val="center"/>
          </w:tcPr>
          <w:p w14:paraId="1534530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3069D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223" w:type="pct"/>
            <w:shd w:val="clear" w:color="auto" w:fill="auto"/>
            <w:vAlign w:val="center"/>
          </w:tcPr>
          <w:p w14:paraId="0865DA2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4.2.2</w:t>
            </w:r>
          </w:p>
        </w:tc>
        <w:tc>
          <w:tcPr>
            <w:tcW w:w="801" w:type="pct"/>
            <w:shd w:val="clear" w:color="auto" w:fill="auto"/>
            <w:vAlign w:val="center"/>
          </w:tcPr>
          <w:p w14:paraId="42182F9D">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市场化融资还本</w:t>
            </w:r>
          </w:p>
        </w:tc>
        <w:tc>
          <w:tcPr>
            <w:tcW w:w="308" w:type="pct"/>
            <w:shd w:val="clear" w:color="auto" w:fill="auto"/>
            <w:vAlign w:val="center"/>
          </w:tcPr>
          <w:p w14:paraId="60ED840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73" w:type="pct"/>
            <w:shd w:val="clear" w:color="auto" w:fill="auto"/>
            <w:vAlign w:val="center"/>
          </w:tcPr>
          <w:p w14:paraId="6AAA182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5DA76895">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46ADE88F">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7BC3788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6AE3840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1CB9DAA">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05F21E77">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DC0551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296" w:type="pct"/>
            <w:shd w:val="clear" w:color="auto" w:fill="auto"/>
            <w:vAlign w:val="center"/>
          </w:tcPr>
          <w:p w14:paraId="192F91E0">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4" w:type="pct"/>
            <w:shd w:val="clear" w:color="auto" w:fill="auto"/>
            <w:vAlign w:val="center"/>
          </w:tcPr>
          <w:p w14:paraId="5FE2AF3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26" w:type="pct"/>
            <w:shd w:val="clear" w:color="auto" w:fill="auto"/>
            <w:vAlign w:val="center"/>
          </w:tcPr>
          <w:p w14:paraId="2B97DF7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c>
          <w:tcPr>
            <w:tcW w:w="374" w:type="pct"/>
            <w:shd w:val="clear" w:color="auto" w:fill="auto"/>
            <w:vAlign w:val="center"/>
          </w:tcPr>
          <w:p w14:paraId="3BDE5534">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0.00 </w:t>
            </w:r>
          </w:p>
        </w:tc>
      </w:tr>
      <w:tr w14:paraId="25808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223" w:type="pct"/>
            <w:shd w:val="clear" w:color="auto" w:fill="auto"/>
            <w:vAlign w:val="center"/>
          </w:tcPr>
          <w:p w14:paraId="61A9DB42">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5</w:t>
            </w:r>
          </w:p>
        </w:tc>
        <w:tc>
          <w:tcPr>
            <w:tcW w:w="801" w:type="pct"/>
            <w:shd w:val="clear" w:color="auto" w:fill="auto"/>
            <w:vAlign w:val="center"/>
          </w:tcPr>
          <w:p w14:paraId="1893B866">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项目总的本息覆盖倍数</w:t>
            </w:r>
          </w:p>
        </w:tc>
        <w:tc>
          <w:tcPr>
            <w:tcW w:w="3975" w:type="pct"/>
            <w:gridSpan w:val="13"/>
            <w:shd w:val="clear" w:color="auto" w:fill="auto"/>
            <w:vAlign w:val="center"/>
          </w:tcPr>
          <w:p w14:paraId="1608E3C5">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1.25 </w:t>
            </w:r>
          </w:p>
        </w:tc>
      </w:tr>
      <w:tr w14:paraId="18CFB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23" w:type="pct"/>
            <w:shd w:val="clear" w:color="auto" w:fill="auto"/>
            <w:vAlign w:val="center"/>
          </w:tcPr>
          <w:p w14:paraId="44C0CC01">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6</w:t>
            </w:r>
          </w:p>
        </w:tc>
        <w:tc>
          <w:tcPr>
            <w:tcW w:w="801" w:type="pct"/>
            <w:shd w:val="clear" w:color="auto" w:fill="auto"/>
            <w:vAlign w:val="center"/>
          </w:tcPr>
          <w:p w14:paraId="150EB45E">
            <w:pPr>
              <w:keepNext w:val="0"/>
              <w:keepLines w:val="0"/>
              <w:pageBreakBefore w:val="0"/>
              <w:widowControl/>
              <w:kinsoku/>
              <w:wordWrap/>
              <w:overflowPunct/>
              <w:topLinePunct w:val="0"/>
              <w:autoSpaceDE/>
              <w:autoSpaceDN/>
              <w:bidi w:val="0"/>
              <w:adjustRightInd/>
              <w:snapToGrid/>
              <w:spacing w:line="240" w:lineRule="exact"/>
              <w:ind w:firstLine="0" w:firstLineChars="0"/>
              <w:jc w:val="center"/>
              <w:textAlignment w:val="auto"/>
              <w:rPr>
                <w:rFonts w:ascii="宋体" w:hAnsi="宋体" w:eastAsia="宋体" w:cs="宋体"/>
                <w:color w:val="auto"/>
                <w:sz w:val="18"/>
                <w:szCs w:val="18"/>
              </w:rPr>
            </w:pPr>
            <w:r>
              <w:rPr>
                <w:rFonts w:hint="eastAsia" w:ascii="宋体" w:hAnsi="宋体" w:eastAsia="宋体" w:cs="宋体"/>
                <w:color w:val="auto"/>
                <w:sz w:val="18"/>
                <w:szCs w:val="18"/>
              </w:rPr>
              <w:t>归还专项债券本息覆盖倍数</w:t>
            </w:r>
          </w:p>
        </w:tc>
        <w:tc>
          <w:tcPr>
            <w:tcW w:w="3975" w:type="pct"/>
            <w:gridSpan w:val="13"/>
            <w:shd w:val="clear" w:color="auto" w:fill="auto"/>
            <w:vAlign w:val="center"/>
          </w:tcPr>
          <w:p w14:paraId="38C65576">
            <w:pPr>
              <w:keepNext w:val="0"/>
              <w:keepLines w:val="0"/>
              <w:pageBreakBefore w:val="0"/>
              <w:widowControl/>
              <w:kinsoku/>
              <w:wordWrap/>
              <w:overflowPunct/>
              <w:topLinePunct w:val="0"/>
              <w:autoSpaceDE/>
              <w:autoSpaceDN/>
              <w:bidi w:val="0"/>
              <w:adjustRightInd/>
              <w:snapToGrid/>
              <w:spacing w:line="240" w:lineRule="exact"/>
              <w:ind w:firstLine="0" w:firstLineChars="0"/>
              <w:jc w:val="left"/>
              <w:textAlignment w:val="auto"/>
              <w:rPr>
                <w:rFonts w:ascii="宋体" w:hAnsi="宋体" w:eastAsia="宋体" w:cs="宋体"/>
                <w:color w:val="auto"/>
                <w:sz w:val="18"/>
                <w:szCs w:val="18"/>
              </w:rPr>
            </w:pPr>
            <w:r>
              <w:rPr>
                <w:rFonts w:hint="eastAsia" w:ascii="宋体" w:hAnsi="宋体" w:eastAsia="宋体" w:cs="宋体"/>
                <w:color w:val="auto"/>
                <w:sz w:val="18"/>
                <w:szCs w:val="18"/>
              </w:rPr>
              <w:t xml:space="preserve">1.25 </w:t>
            </w:r>
          </w:p>
        </w:tc>
      </w:tr>
    </w:tbl>
    <w:p w14:paraId="5036A415">
      <w:pPr>
        <w:pStyle w:val="6"/>
        <w:rPr>
          <w:rFonts w:hint="default"/>
          <w:lang w:val="en-US" w:eastAsia="zh-CN"/>
        </w:rPr>
        <w:sectPr>
          <w:pgSz w:w="20863" w:h="14740" w:orient="landscape"/>
          <w:pgMar w:top="1800" w:right="1440" w:bottom="1800" w:left="1440" w:header="851" w:footer="992" w:gutter="0"/>
          <w:pgNumType w:fmt="decimal"/>
          <w:cols w:space="425" w:num="1"/>
          <w:docGrid w:type="lines" w:linePitch="312" w:charSpace="0"/>
        </w:sectPr>
      </w:pPr>
    </w:p>
    <w:p w14:paraId="2D8D33E1">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z w:val="32"/>
          <w:szCs w:val="32"/>
          <w:lang w:val="en-US" w:eastAsia="zh-CN"/>
        </w:rPr>
      </w:pPr>
      <w:bookmarkStart w:id="134" w:name="_Toc22826"/>
      <w:r>
        <w:rPr>
          <w:rFonts w:hint="eastAsia" w:ascii="黑体" w:hAnsi="黑体" w:eastAsia="黑体" w:cs="黑体"/>
          <w:b w:val="0"/>
          <w:bCs w:val="0"/>
          <w:sz w:val="32"/>
          <w:szCs w:val="32"/>
          <w:lang w:val="en-US" w:eastAsia="zh-CN"/>
        </w:rPr>
        <w:t>五、项目绩效目标</w:t>
      </w:r>
      <w:bookmarkEnd w:id="134"/>
    </w:p>
    <w:p w14:paraId="51AC3AE1">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z w:val="32"/>
          <w:szCs w:val="32"/>
          <w:lang w:val="en-US" w:eastAsia="zh-CN"/>
        </w:rPr>
      </w:pPr>
      <w:r>
        <w:rPr>
          <w:rFonts w:hint="eastAsia" w:ascii="楷体" w:hAnsi="楷体" w:eastAsia="楷体" w:cs="楷体"/>
          <w:b w:val="0"/>
          <w:bCs/>
          <w:sz w:val="32"/>
          <w:szCs w:val="32"/>
          <w:lang w:val="en-US" w:eastAsia="zh-CN"/>
        </w:rPr>
        <w:t>（一）产出指标</w:t>
      </w:r>
    </w:p>
    <w:p w14:paraId="42ED16B0">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1、数量指标：</w:t>
      </w:r>
    </w:p>
    <w:p w14:paraId="386D57CA">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指标1：完成建筑面积55000平方米；</w:t>
      </w:r>
    </w:p>
    <w:p w14:paraId="682B0979">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指标2：建成车位600个；</w:t>
      </w:r>
    </w:p>
    <w:p w14:paraId="6EDEB2ED">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指标3：完成配套冷链物流设备购置，达成预期目标；</w:t>
      </w:r>
    </w:p>
    <w:p w14:paraId="72511EE1">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指标4：完成附属设施建设及智能系统建设，达成预期目标。</w:t>
      </w:r>
    </w:p>
    <w:p w14:paraId="453DE730">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2、质量指标：</w:t>
      </w:r>
    </w:p>
    <w:p w14:paraId="67221263">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指标1：项目竣工验收达标率≥95%；</w:t>
      </w:r>
    </w:p>
    <w:p w14:paraId="57124244">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指标2：项目设计方案变更率≤5%。</w:t>
      </w:r>
    </w:p>
    <w:p w14:paraId="30B0AEA9">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3、时效指标：</w:t>
      </w:r>
    </w:p>
    <w:p w14:paraId="018F4556">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指标1：工程按时开工2022年10月1日；</w:t>
      </w:r>
    </w:p>
    <w:p w14:paraId="5C7C0FF1">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指标2：工程按时竣工验收2025年9月30。</w:t>
      </w:r>
    </w:p>
    <w:p w14:paraId="0FB5AD60">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4、成本指标：</w:t>
      </w:r>
    </w:p>
    <w:p w14:paraId="7626F31D">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指标1：项目建设总投资成本≤61000.00万元；</w:t>
      </w:r>
    </w:p>
    <w:p w14:paraId="7BFEB762">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指标2：项目融资总成本≤30000.00万元；</w:t>
      </w:r>
    </w:p>
    <w:p w14:paraId="37033C8F">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指标3：项目运营总成本≤13461.87万元。</w:t>
      </w:r>
    </w:p>
    <w:p w14:paraId="343188B5">
      <w:pPr>
        <w:pStyle w:val="7"/>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5、预算执行指标：</w:t>
      </w:r>
    </w:p>
    <w:p w14:paraId="479A50BF">
      <w:pPr>
        <w:pStyle w:val="7"/>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指标1：债券资金实际支出≤30000.00万元；</w:t>
      </w:r>
    </w:p>
    <w:p w14:paraId="6DB5FE45">
      <w:pPr>
        <w:pStyle w:val="7"/>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指标2：在方投入资金实际支出≤31000.00万元。</w:t>
      </w:r>
    </w:p>
    <w:p w14:paraId="61B940D9">
      <w:pPr>
        <w:keepNext w:val="0"/>
        <w:keepLines w:val="0"/>
        <w:pageBreakBefore w:val="0"/>
        <w:widowControl w:val="0"/>
        <w:kinsoku/>
        <w:wordWrap/>
        <w:overflowPunct/>
        <w:topLinePunct w:val="0"/>
        <w:autoSpaceDE/>
        <w:autoSpaceDN/>
        <w:bidi w:val="0"/>
        <w:adjustRightInd w:val="0"/>
        <w:snapToGrid w:val="0"/>
        <w:spacing w:before="313" w:beforeLines="100" w:after="157" w:afterLines="50" w:line="500" w:lineRule="exact"/>
        <w:ind w:firstLine="640" w:firstLineChars="200"/>
        <w:textAlignment w:val="auto"/>
        <w:outlineLvl w:val="1"/>
        <w:rPr>
          <w:rFonts w:hint="eastAsia" w:ascii="楷体" w:hAnsi="楷体" w:eastAsia="楷体" w:cs="楷体"/>
          <w:b w:val="0"/>
          <w:bCs/>
          <w:sz w:val="32"/>
          <w:szCs w:val="32"/>
          <w:lang w:val="en-US" w:eastAsia="zh-CN"/>
        </w:rPr>
      </w:pPr>
      <w:r>
        <w:rPr>
          <w:rFonts w:hint="eastAsia" w:ascii="楷体" w:hAnsi="楷体" w:eastAsia="楷体" w:cs="楷体"/>
          <w:b w:val="0"/>
          <w:bCs/>
          <w:sz w:val="32"/>
          <w:szCs w:val="32"/>
          <w:lang w:val="en-US" w:eastAsia="zh-CN"/>
        </w:rPr>
        <w:t>（二）效益指标</w:t>
      </w:r>
    </w:p>
    <w:p w14:paraId="75731959">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1、经济效益指标：</w:t>
      </w:r>
    </w:p>
    <w:p w14:paraId="5DE44C91">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指标1：项目总收入≥92301.33万元；</w:t>
      </w:r>
    </w:p>
    <w:p w14:paraId="4DD258EC">
      <w:pPr>
        <w:pStyle w:val="12"/>
        <w:keepNext w:val="0"/>
        <w:keepLines w:val="0"/>
        <w:pageBreakBefore w:val="0"/>
        <w:widowControl w:val="0"/>
        <w:numPr>
          <w:ilvl w:val="0"/>
          <w:numId w:val="0"/>
        </w:numPr>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指标2：总成本≤80497.62万元。</w:t>
      </w:r>
    </w:p>
    <w:p w14:paraId="2C978356">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2、社会效益指标：</w:t>
      </w:r>
    </w:p>
    <w:p w14:paraId="22EB38BE">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default"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指标1：建设一套完整的科学的冷链物流产业，达成预期目标；</w:t>
      </w:r>
    </w:p>
    <w:p w14:paraId="4ACACC52">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firstLine="560" w:firstLineChars="200"/>
        <w:textAlignment w:val="auto"/>
        <w:rPr>
          <w:rFonts w:hint="default"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指标2：提供就业岗位≥25人。</w:t>
      </w:r>
    </w:p>
    <w:p w14:paraId="0E999611">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default"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3、生态效益：</w:t>
      </w:r>
    </w:p>
    <w:p w14:paraId="029E50AF">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指标1：水电能源节约率≥95%;</w:t>
      </w:r>
    </w:p>
    <w:p w14:paraId="0B05DF94">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default"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指标2：建设项目环境保护达标度≥90%</w:t>
      </w:r>
    </w:p>
    <w:p w14:paraId="4A6AAB33">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4、可持续影响指标：</w:t>
      </w:r>
    </w:p>
    <w:p w14:paraId="49CA0B2F">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指标1：运营期限：≥19年；</w:t>
      </w:r>
    </w:p>
    <w:p w14:paraId="6CF2555E">
      <w:pPr>
        <w:pStyle w:val="13"/>
        <w:keepNext w:val="0"/>
        <w:keepLines w:val="0"/>
        <w:pageBreakBefore w:val="0"/>
        <w:widowControl w:val="0"/>
        <w:numPr>
          <w:ilvl w:val="0"/>
          <w:numId w:val="0"/>
        </w:numPr>
        <w:kinsoku/>
        <w:wordWrap/>
        <w:overflowPunct/>
        <w:topLinePunct w:val="0"/>
        <w:autoSpaceDE/>
        <w:autoSpaceDN/>
        <w:bidi w:val="0"/>
        <w:adjustRightInd w:val="0"/>
        <w:snapToGrid w:val="0"/>
        <w:spacing w:after="0"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指标2：推动区域全面协调发展，达成预期目标。</w:t>
      </w:r>
    </w:p>
    <w:p w14:paraId="3D1263DC">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4、融资与收益平衡指标（含还本付息）：</w:t>
      </w:r>
    </w:p>
    <w:p w14:paraId="30000B84">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指标1：项目收益覆盖倍数：1.25；</w:t>
      </w:r>
    </w:p>
    <w:p w14:paraId="736701A9">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指标2：债券还本付息：按时足额；</w:t>
      </w:r>
    </w:p>
    <w:p w14:paraId="7C09D812">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指标3：还本付息资金来源：项目运营收入。</w:t>
      </w:r>
    </w:p>
    <w:p w14:paraId="158ED07E">
      <w:pPr>
        <w:pStyle w:val="12"/>
        <w:keepNext w:val="0"/>
        <w:keepLines w:val="0"/>
        <w:pageBreakBefore w:val="0"/>
        <w:widowControl w:val="0"/>
        <w:kinsoku/>
        <w:wordWrap/>
        <w:overflowPunct/>
        <w:topLinePunct w:val="0"/>
        <w:autoSpaceDE/>
        <w:autoSpaceDN/>
        <w:bidi w:val="0"/>
        <w:adjustRightInd w:val="0"/>
        <w:snapToGrid w:val="0"/>
        <w:spacing w:before="0" w:after="0" w:line="500" w:lineRule="exact"/>
        <w:ind w:left="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5、服务对象满意度指标：</w:t>
      </w:r>
    </w:p>
    <w:p w14:paraId="6C769AED">
      <w:pPr>
        <w:pStyle w:val="6"/>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0" w:leftChars="0" w:firstLine="560" w:firstLineChars="200"/>
        <w:textAlignment w:val="auto"/>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pPr>
      <w:r>
        <w:rPr>
          <w:rFonts w:hint="eastAsia" w:ascii="仿宋" w:hAnsi="仿宋" w:eastAsia="仿宋" w:cs="仿宋"/>
          <w:b w:val="0"/>
          <w:bCs w:val="0"/>
          <w:color w:val="000000" w:themeColor="text1"/>
          <w:kern w:val="2"/>
          <w:sz w:val="28"/>
          <w:szCs w:val="28"/>
          <w:highlight w:val="none"/>
          <w:lang w:val="en-US" w:eastAsia="zh-CN" w:bidi="ar-SA"/>
          <w14:textFill>
            <w14:solidFill>
              <w14:schemeClr w14:val="tx1"/>
            </w14:solidFill>
          </w14:textFill>
        </w:rPr>
        <w:t>指标1：周边居民满意度≧90%。</w:t>
      </w:r>
    </w:p>
    <w:p w14:paraId="5E9EFB36">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z w:val="32"/>
          <w:szCs w:val="32"/>
          <w:lang w:val="en-US" w:eastAsia="zh-CN"/>
        </w:rPr>
      </w:pPr>
      <w:bookmarkStart w:id="135" w:name="_Toc11442"/>
      <w:r>
        <w:rPr>
          <w:rFonts w:hint="eastAsia" w:ascii="黑体" w:hAnsi="黑体" w:eastAsia="黑体" w:cs="黑体"/>
          <w:b w:val="0"/>
          <w:bCs w:val="0"/>
          <w:sz w:val="32"/>
          <w:szCs w:val="32"/>
          <w:lang w:val="en-US" w:eastAsia="zh-CN"/>
        </w:rPr>
        <w:t>六、潜在影响项目的风险评估</w:t>
      </w:r>
      <w:bookmarkEnd w:id="135"/>
    </w:p>
    <w:p w14:paraId="682C4BFF">
      <w:pPr>
        <w:keepNext w:val="0"/>
        <w:keepLines w:val="0"/>
        <w:pageBreakBefore w:val="0"/>
        <w:widowControl w:val="0"/>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本项目主要的风险因素有工程质量风险、工程费用风险、工程进度风险及资金管理风险。</w:t>
      </w:r>
    </w:p>
    <w:p w14:paraId="10741607">
      <w:pPr>
        <w:keepNext w:val="0"/>
        <w:keepLines w:val="0"/>
        <w:pageBreakBefore w:val="0"/>
        <w:widowControl w:val="0"/>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风险因素可控，风险较低。</w:t>
      </w:r>
    </w:p>
    <w:p w14:paraId="3CB07341">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z w:val="32"/>
          <w:szCs w:val="32"/>
          <w:lang w:val="en-US" w:eastAsia="zh-CN"/>
        </w:rPr>
      </w:pPr>
      <w:bookmarkStart w:id="136" w:name="_Toc28996"/>
      <w:r>
        <w:rPr>
          <w:rFonts w:hint="eastAsia" w:ascii="黑体" w:hAnsi="黑体" w:eastAsia="黑体" w:cs="黑体"/>
          <w:b w:val="0"/>
          <w:bCs w:val="0"/>
          <w:sz w:val="32"/>
          <w:szCs w:val="32"/>
          <w:lang w:val="en-US" w:eastAsia="zh-CN"/>
        </w:rPr>
        <w:t>七、还款保障情况</w:t>
      </w:r>
      <w:bookmarkEnd w:id="136"/>
    </w:p>
    <w:p w14:paraId="5F51DCB0">
      <w:pPr>
        <w:keepNext w:val="0"/>
        <w:keepLines w:val="0"/>
        <w:pageBreakBefore w:val="0"/>
        <w:widowControl w:val="0"/>
        <w:kinsoku/>
        <w:wordWrap/>
        <w:overflowPunct/>
        <w:topLinePunct w:val="0"/>
        <w:autoSpaceDE/>
        <w:autoSpaceDN/>
        <w:bidi w:val="0"/>
        <w:adjustRightInd w:val="0"/>
        <w:snapToGrid w:val="0"/>
        <w:spacing w:line="500" w:lineRule="exact"/>
        <w:ind w:left="0" w:firstLine="560" w:firstLineChars="200"/>
        <w:textAlignment w:val="auto"/>
        <w:rPr>
          <w:rFonts w:hint="eastAsia" w:ascii="仿宋" w:hAnsi="仿宋" w:eastAsia="仿宋" w:cs="仿宋"/>
          <w:color w:val="auto"/>
          <w:sz w:val="28"/>
          <w:szCs w:val="28"/>
          <w:highlight w:val="none"/>
          <w:lang w:val="en-GB" w:eastAsia="zh-CN"/>
        </w:rPr>
      </w:pPr>
      <w:r>
        <w:rPr>
          <w:rFonts w:hint="eastAsia" w:ascii="仿宋" w:hAnsi="仿宋" w:eastAsia="仿宋" w:cs="仿宋"/>
          <w:color w:val="auto"/>
          <w:sz w:val="28"/>
          <w:szCs w:val="28"/>
          <w:highlight w:val="none"/>
          <w:lang w:val="en-US" w:eastAsia="zh-CN"/>
        </w:rPr>
        <w:t>按照《国务院办公厅关于印发地方政府性债务风险应急处置预案的通知》（国办函〔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14:paraId="3380175F">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z w:val="32"/>
          <w:szCs w:val="32"/>
          <w:lang w:val="en-US" w:eastAsia="zh-CN"/>
        </w:rPr>
      </w:pPr>
      <w:bookmarkStart w:id="137" w:name="_Toc13900"/>
      <w:bookmarkStart w:id="138" w:name="_Toc32519"/>
      <w:bookmarkStart w:id="139" w:name="_Toc19107"/>
      <w:r>
        <w:rPr>
          <w:rFonts w:hint="eastAsia" w:ascii="黑体" w:hAnsi="黑体" w:eastAsia="黑体" w:cs="黑体"/>
          <w:b w:val="0"/>
          <w:bCs w:val="0"/>
          <w:sz w:val="32"/>
          <w:szCs w:val="32"/>
          <w:lang w:val="en-US" w:eastAsia="zh-CN"/>
        </w:rPr>
        <w:t>八、主管部门及项目单位职责</w:t>
      </w:r>
      <w:bookmarkEnd w:id="137"/>
      <w:bookmarkEnd w:id="138"/>
    </w:p>
    <w:p w14:paraId="0B4D0CDB">
      <w:pPr>
        <w:keepNext w:val="0"/>
        <w:keepLines w:val="0"/>
        <w:pageBreakBefore w:val="0"/>
        <w:widowControl w:val="0"/>
        <w:kinsoku/>
        <w:wordWrap/>
        <w:overflowPunct/>
        <w:topLinePunct w:val="0"/>
        <w:autoSpaceDE/>
        <w:autoSpaceDN/>
        <w:bidi w:val="0"/>
        <w:adjustRightInd w:val="0"/>
        <w:snapToGrid w:val="0"/>
        <w:spacing w:line="500" w:lineRule="exact"/>
        <w:ind w:left="0" w:firstLine="560" w:firstLineChars="200"/>
        <w:textAlignment w:val="auto"/>
        <w:rPr>
          <w:rFonts w:hint="eastAsia" w:ascii="仿宋_GB2312" w:eastAsia="仿宋_GB2312"/>
          <w:sz w:val="28"/>
          <w:szCs w:val="28"/>
          <w:lang w:val="en-GB"/>
        </w:rPr>
      </w:pPr>
      <w:r>
        <w:rPr>
          <w:rFonts w:hint="eastAsia" w:ascii="仿宋_GB2312" w:eastAsia="仿宋_GB2312"/>
          <w:sz w:val="28"/>
          <w:szCs w:val="28"/>
          <w:lang w:val="en-GB"/>
        </w:rPr>
        <w:t>本项目的主管部门为</w:t>
      </w:r>
      <w:r>
        <w:rPr>
          <w:rFonts w:hint="eastAsia" w:ascii="仿宋" w:hAnsi="仿宋" w:eastAsia="仿宋" w:cs="仿宋"/>
          <w:color w:val="auto"/>
          <w:spacing w:val="-6"/>
          <w:kern w:val="0"/>
          <w:sz w:val="28"/>
          <w:szCs w:val="28"/>
          <w:highlight w:val="none"/>
          <w:lang w:val="en-US" w:eastAsia="zh-CN"/>
        </w:rPr>
        <w:t>邻水县商务局</w:t>
      </w:r>
      <w:r>
        <w:rPr>
          <w:rFonts w:hint="eastAsia" w:ascii="仿宋_GB2312" w:eastAsia="仿宋_GB2312"/>
          <w:sz w:val="28"/>
          <w:szCs w:val="28"/>
          <w:lang w:val="en-GB"/>
        </w:rPr>
        <w:t>。在项目收益专项债券发行期间，主管部门将会做好本地区项目收益专项债券发行的监督和指导工作。在项目建设期间，主管部门将积极跟进项目建设进度，监督项目收益专项债券资金使用情况。在项目运营期间，行业主管部门将配合财政部门编制项目收益债券收支决算，在政府性基金预算报告中全面、准确反映项目收益专项债券收入、支出、还本付息、发行费用、取得的收入等情况。债券对应资产管理方面，主管部门将会协同财政部门将本项目形成的资产纳入国有资产管理，建立相应的资产登记和统计报告制度，加强资产日常统计和动态监控。</w:t>
      </w:r>
    </w:p>
    <w:p w14:paraId="3D1BA524">
      <w:pPr>
        <w:keepNext w:val="0"/>
        <w:keepLines w:val="0"/>
        <w:pageBreakBefore w:val="0"/>
        <w:widowControl w:val="0"/>
        <w:kinsoku/>
        <w:wordWrap/>
        <w:overflowPunct/>
        <w:topLinePunct w:val="0"/>
        <w:autoSpaceDE/>
        <w:autoSpaceDN/>
        <w:bidi w:val="0"/>
        <w:adjustRightInd w:val="0"/>
        <w:snapToGrid w:val="0"/>
        <w:spacing w:line="500" w:lineRule="exact"/>
        <w:ind w:left="0" w:firstLine="560" w:firstLineChars="200"/>
        <w:textAlignment w:val="auto"/>
        <w:outlineLvl w:val="0"/>
        <w:rPr>
          <w:rFonts w:hint="eastAsia" w:ascii="仿宋_GB2312" w:eastAsia="仿宋_GB2312"/>
          <w:sz w:val="28"/>
          <w:szCs w:val="28"/>
          <w:lang w:val="en-GB"/>
        </w:rPr>
      </w:pPr>
      <w:r>
        <w:rPr>
          <w:rFonts w:hint="eastAsia" w:ascii="仿宋_GB2312" w:eastAsia="仿宋_GB2312"/>
          <w:sz w:val="28"/>
          <w:szCs w:val="28"/>
          <w:lang w:val="en-GB"/>
        </w:rPr>
        <w:t>本项目的业主单位为</w:t>
      </w:r>
      <w:r>
        <w:rPr>
          <w:rFonts w:hint="eastAsia" w:ascii="仿宋_GB2312" w:eastAsia="仿宋_GB2312"/>
          <w:sz w:val="28"/>
          <w:szCs w:val="28"/>
          <w:lang w:val="en-US" w:eastAsia="zh-CN"/>
        </w:rPr>
        <w:t>邻水县强农建筑工程有限公司</w:t>
      </w:r>
      <w:r>
        <w:rPr>
          <w:rFonts w:hint="eastAsia" w:ascii="仿宋_GB2312" w:eastAsia="仿宋_GB2312"/>
          <w:sz w:val="28"/>
          <w:szCs w:val="28"/>
          <w:lang w:val="en-GB"/>
        </w:rPr>
        <w:t>。在项目收益专项债券发行期间，业主单位将会配合做好本地区项目收益专项债券发行工作，及时准确提供相关资料，配合做好信息披露、信用评级、资产评估等工作。在项目建设期间，业主单位将主动披露项目施工期间的施工进度、项目收益专项债券资金使用情况等信息。项目单位会同项目主管部门将项目资产纳入国有资产进行管理，根据资产形式和类别建立资产登记和统计报告制度，做到项目资产的精细化监督管理。在项目运营期间，业主单位将会履行项目建设运营管理责任，加强成本控制，确保项目形成的专项收入应收尽收，并按照规定及时足额上交。业主单位定期对项目资产开展资产查验工作，重点检验项目资产是否按照国有资产管理相关规定管理，是否按照专项债券发行时设定的用途进行使用，防止国有资产发生流失、减值等情况，保障资产高效运营。</w:t>
      </w:r>
    </w:p>
    <w:p w14:paraId="221B81BE">
      <w:pPr>
        <w:keepNext w:val="0"/>
        <w:keepLines w:val="0"/>
        <w:pageBreakBefore w:val="0"/>
        <w:widowControl w:val="0"/>
        <w:kinsoku/>
        <w:wordWrap/>
        <w:overflowPunct/>
        <w:topLinePunct w:val="0"/>
        <w:autoSpaceDE/>
        <w:autoSpaceDN/>
        <w:bidi w:val="0"/>
        <w:adjustRightInd w:val="0"/>
        <w:snapToGrid w:val="0"/>
        <w:spacing w:before="157" w:beforeLines="50" w:after="157" w:afterLines="50" w:line="500" w:lineRule="exact"/>
        <w:ind w:firstLine="640" w:firstLineChars="200"/>
        <w:textAlignment w:val="auto"/>
        <w:outlineLvl w:val="0"/>
        <w:rPr>
          <w:rFonts w:hint="eastAsia" w:ascii="黑体" w:hAnsi="黑体" w:eastAsia="黑体" w:cs="黑体"/>
          <w:b w:val="0"/>
          <w:bCs w:val="0"/>
          <w:sz w:val="32"/>
          <w:szCs w:val="32"/>
          <w:lang w:val="en-US" w:eastAsia="zh-CN"/>
        </w:rPr>
      </w:pPr>
      <w:r>
        <w:rPr>
          <w:rFonts w:hint="eastAsia" w:ascii="黑体" w:hAnsi="黑体" w:eastAsia="黑体" w:cs="黑体"/>
          <w:b w:val="0"/>
          <w:bCs w:val="0"/>
          <w:sz w:val="32"/>
          <w:szCs w:val="32"/>
          <w:lang w:val="en-US" w:eastAsia="zh-CN"/>
        </w:rPr>
        <w:t>九、补充说明</w:t>
      </w:r>
      <w:bookmarkEnd w:id="139"/>
    </w:p>
    <w:p w14:paraId="3FB18139">
      <w:pPr>
        <w:keepNext w:val="0"/>
        <w:keepLines w:val="0"/>
        <w:pageBreakBefore w:val="0"/>
        <w:widowControl w:val="0"/>
        <w:kinsoku/>
        <w:wordWrap/>
        <w:overflowPunct/>
        <w:topLinePunct w:val="0"/>
        <w:autoSpaceDE/>
        <w:autoSpaceDN/>
        <w:bidi w:val="0"/>
        <w:adjustRightInd w:val="0"/>
        <w:snapToGrid w:val="0"/>
        <w:spacing w:line="460" w:lineRule="exact"/>
        <w:ind w:left="0" w:firstLine="554" w:firstLineChars="200"/>
        <w:textAlignment w:val="auto"/>
        <w:rPr>
          <w:rFonts w:hint="eastAsia" w:ascii="仿宋_GB2312" w:hAnsi="仿宋_GB2312" w:eastAsia="仿宋_GB2312" w:cs="Times New Roman"/>
          <w:w w:val="99"/>
          <w:sz w:val="28"/>
          <w:szCs w:val="28"/>
          <w:lang w:val="en-US" w:eastAsia="zh-CN"/>
        </w:rPr>
      </w:pPr>
      <w:r>
        <w:rPr>
          <w:rFonts w:hint="eastAsia" w:ascii="仿宋_GB2312" w:hAnsi="仿宋_GB2312" w:eastAsia="仿宋_GB2312" w:cs="Times New Roman"/>
          <w:w w:val="99"/>
          <w:sz w:val="28"/>
          <w:szCs w:val="28"/>
          <w:lang w:val="en-GB"/>
        </w:rPr>
        <w:t>此项目债券资金总需求</w:t>
      </w:r>
      <w:r>
        <w:rPr>
          <w:rFonts w:hint="eastAsia" w:ascii="仿宋_GB2312" w:hAnsi="仿宋_GB2312" w:eastAsia="仿宋_GB2312" w:cs="Times New Roman"/>
          <w:w w:val="99"/>
          <w:sz w:val="28"/>
          <w:szCs w:val="28"/>
          <w:lang w:val="en-US" w:eastAsia="zh-CN"/>
        </w:rPr>
        <w:t>300</w:t>
      </w:r>
      <w:r>
        <w:rPr>
          <w:rFonts w:hint="eastAsia" w:ascii="仿宋_GB2312" w:hAnsi="仿宋_GB2312" w:eastAsia="仿宋_GB2312" w:cs="Times New Roman"/>
          <w:w w:val="99"/>
          <w:sz w:val="28"/>
          <w:szCs w:val="28"/>
          <w:lang w:val="en-GB"/>
        </w:rPr>
        <w:t>00万元，根据地方政府债务限额管理要求和项目实施进展情况。</w:t>
      </w:r>
      <w:r>
        <w:rPr>
          <w:rFonts w:hint="eastAsia" w:ascii="仿宋_GB2312" w:hAnsi="仿宋_GB2312" w:eastAsia="仿宋_GB2312" w:cs="Times New Roman"/>
          <w:w w:val="99"/>
          <w:sz w:val="28"/>
          <w:szCs w:val="28"/>
          <w:lang w:val="en-US" w:eastAsia="zh-CN"/>
        </w:rPr>
        <w:t>此项目已发行5000.00万元，本次拟发行8700.00万元，期限20年。该项目实施内容及收益来源未发生变动，在不超过项目债券总需求情况下，债券分批次跨年发行对项目整体融资平衡不构成实质影响。</w:t>
      </w:r>
    </w:p>
    <w:p w14:paraId="1509838E">
      <w:pPr>
        <w:pStyle w:val="13"/>
        <w:keepNext w:val="0"/>
        <w:keepLines w:val="0"/>
        <w:pageBreakBefore w:val="0"/>
        <w:widowControl w:val="0"/>
        <w:kinsoku/>
        <w:wordWrap/>
        <w:overflowPunct/>
        <w:topLinePunct w:val="0"/>
        <w:autoSpaceDE/>
        <w:autoSpaceDN/>
        <w:bidi w:val="0"/>
        <w:adjustRightInd w:val="0"/>
        <w:snapToGrid w:val="0"/>
        <w:spacing w:after="0" w:line="460" w:lineRule="exact"/>
        <w:ind w:left="0" w:firstLine="480" w:firstLineChars="200"/>
        <w:textAlignment w:val="auto"/>
        <w:rPr>
          <w:rFonts w:hint="eastAsia" w:ascii="宋体" w:hAnsi="宋体" w:eastAsia="宋体" w:cs="宋体"/>
          <w:color w:val="000000" w:themeColor="text1"/>
          <w:sz w:val="24"/>
          <w:szCs w:val="24"/>
          <w:highlight w:val="none"/>
          <w:lang w:val="en-US" w:eastAsia="zh-CN"/>
          <w14:textFill>
            <w14:solidFill>
              <w14:schemeClr w14:val="tx1"/>
            </w14:solidFill>
          </w14:textFill>
        </w:rPr>
      </w:pPr>
      <w:bookmarkStart w:id="140" w:name="_GoBack"/>
      <w:bookmarkEnd w:id="140"/>
    </w:p>
    <w:sectPr>
      <w:pgSz w:w="11906" w:h="16838"/>
      <w:pgMar w:top="1814" w:right="1474" w:bottom="1644" w:left="158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C7E1DC4-D2E7-449C-946A-235FDE77F38D}"/>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embedRegular r:id="rId2" w:fontKey="{024C14E9-9932-4848-9375-AB6A3EFE8427}"/>
  </w:font>
  <w:font w:name="仿宋_GB2312">
    <w:panose1 w:val="02010609030101010101"/>
    <w:charset w:val="86"/>
    <w:family w:val="modern"/>
    <w:pitch w:val="default"/>
    <w:sig w:usb0="00000001" w:usb1="080E0000" w:usb2="00000000" w:usb3="00000000" w:csb0="00040000" w:csb1="00000000"/>
    <w:embedRegular r:id="rId3" w:fontKey="{221EFAFA-32C6-488C-A3FE-C32AE7F427CA}"/>
  </w:font>
  <w:font w:name="方正小标宋简体">
    <w:panose1 w:val="02010601030101010101"/>
    <w:charset w:val="86"/>
    <w:family w:val="auto"/>
    <w:pitch w:val="default"/>
    <w:sig w:usb0="00000001" w:usb1="080E0000" w:usb2="00000000" w:usb3="00000000" w:csb0="00040000" w:csb1="00000000"/>
  </w:font>
  <w:font w:name="楷体">
    <w:panose1 w:val="02010609060101010101"/>
    <w:charset w:val="86"/>
    <w:family w:val="auto"/>
    <w:pitch w:val="default"/>
    <w:sig w:usb0="800002BF" w:usb1="38CF7CFA" w:usb2="00000016" w:usb3="00000000" w:csb0="00040001" w:csb1="00000000"/>
    <w:embedRegular r:id="rId4" w:fontKey="{93C4C4A7-0753-4463-8894-1F1897CBEB7B}"/>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217959">
    <w:pPr>
      <w:pStyle w:val="1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0277FF">
                          <w:pPr>
                            <w:pStyle w:val="10"/>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250277FF">
                    <w:pPr>
                      <w:pStyle w:val="10"/>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1</w:t>
                    </w:r>
                    <w:r>
                      <w:rPr>
                        <w:sz w:val="21"/>
                        <w:szCs w:val="21"/>
                      </w:rPr>
                      <w:fldChar w:fldCharType="end"/>
                    </w:r>
                  </w:p>
                </w:txbxContent>
              </v:textbox>
            </v:shape>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margin">
                <wp:posOffset>2664460</wp:posOffset>
              </wp:positionH>
              <wp:positionV relativeFrom="paragraph">
                <wp:posOffset>-127000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441B70">
                          <w:pPr>
                            <w:pStyle w:val="10"/>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09.8pt;margin-top:-10pt;height:144pt;width:144pt;mso-position-horizontal-relative:margin;mso-wrap-style:none;z-index:251660288;mso-width-relative:page;mso-height-relative:page;" filled="f" stroked="f" coordsize="21600,21600" o:gfxdata="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woyy2NgAAAALAQAADwAAAAAAAAABACAAAAAiAAAAZHJzL2Rvd25yZXYueG1s&#10;UEsBAhQAFAAAAAgAh07iQGuF+fsxAgAAYQQAAA4AAAAAAAAAAQAgAAAAJwEAAGRycy9lMm9Eb2Mu&#10;eG1sUEsFBgAAAAAGAAYAWQEAAMoFAAAAAA==&#10;">
              <v:fill on="f" focussize="0,0"/>
              <v:stroke on="f" weight="0.5pt"/>
              <v:imagedata o:title=""/>
              <o:lock v:ext="edit" aspectratio="f"/>
              <v:textbox inset="0mm,0mm,0mm,0mm" style="mso-fit-shape-to-text:t;">
                <w:txbxContent>
                  <w:p w14:paraId="0A441B70">
                    <w:pPr>
                      <w:pStyle w:val="10"/>
                    </w:pP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0"/>
    <w:multiLevelType w:val="multilevel"/>
    <w:tmpl w:val="00000010"/>
    <w:lvl w:ilvl="0" w:tentative="0">
      <w:start w:val="1"/>
      <w:numFmt w:val="decimal"/>
      <w:lvlText w:val="%1"/>
      <w:lvlJc w:val="left"/>
      <w:pPr>
        <w:tabs>
          <w:tab w:val="left" w:pos="432"/>
        </w:tabs>
        <w:ind w:left="432" w:hanging="432"/>
      </w:pPr>
      <w:rPr>
        <w:rFonts w:hint="eastAsia"/>
      </w:rPr>
    </w:lvl>
    <w:lvl w:ilvl="1" w:tentative="0">
      <w:start w:val="1"/>
      <w:numFmt w:val="decimal"/>
      <w:pStyle w:val="4"/>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EwN2Q2NjdmNjIxMGRhNmNlMDQzZTQ3OTg4YTY4MjYifQ=="/>
  </w:docVars>
  <w:rsids>
    <w:rsidRoot w:val="4C6F16CF"/>
    <w:rsid w:val="02177661"/>
    <w:rsid w:val="043A0A53"/>
    <w:rsid w:val="053328EC"/>
    <w:rsid w:val="05CF3B95"/>
    <w:rsid w:val="06C2341D"/>
    <w:rsid w:val="0C05793A"/>
    <w:rsid w:val="0D1B5806"/>
    <w:rsid w:val="0D5F6E64"/>
    <w:rsid w:val="0DD0235B"/>
    <w:rsid w:val="0F445CE6"/>
    <w:rsid w:val="15935D1B"/>
    <w:rsid w:val="179E61AF"/>
    <w:rsid w:val="186D6CDB"/>
    <w:rsid w:val="1C1675FC"/>
    <w:rsid w:val="1D450B11"/>
    <w:rsid w:val="1DA5621F"/>
    <w:rsid w:val="1E5834AC"/>
    <w:rsid w:val="1F342466"/>
    <w:rsid w:val="1FEF45A4"/>
    <w:rsid w:val="20AE0CF3"/>
    <w:rsid w:val="21152AE8"/>
    <w:rsid w:val="2207547B"/>
    <w:rsid w:val="245849F1"/>
    <w:rsid w:val="25AA7458"/>
    <w:rsid w:val="28AF2BBF"/>
    <w:rsid w:val="29FA381D"/>
    <w:rsid w:val="2A4A36CE"/>
    <w:rsid w:val="2AF8625E"/>
    <w:rsid w:val="2B9B0199"/>
    <w:rsid w:val="2C2565CE"/>
    <w:rsid w:val="2D095047"/>
    <w:rsid w:val="2E514B6A"/>
    <w:rsid w:val="317071BC"/>
    <w:rsid w:val="342A7389"/>
    <w:rsid w:val="35951139"/>
    <w:rsid w:val="363D6636"/>
    <w:rsid w:val="370B70D3"/>
    <w:rsid w:val="37977742"/>
    <w:rsid w:val="38DE73A6"/>
    <w:rsid w:val="3CF1033E"/>
    <w:rsid w:val="3E1416E6"/>
    <w:rsid w:val="3E3D1D05"/>
    <w:rsid w:val="4033068A"/>
    <w:rsid w:val="408D3443"/>
    <w:rsid w:val="40AE072A"/>
    <w:rsid w:val="43D4332A"/>
    <w:rsid w:val="451A6A6E"/>
    <w:rsid w:val="461A5C6F"/>
    <w:rsid w:val="47452DF8"/>
    <w:rsid w:val="47DF7F6A"/>
    <w:rsid w:val="4B7047B7"/>
    <w:rsid w:val="4C6F16CF"/>
    <w:rsid w:val="4CFC5EA5"/>
    <w:rsid w:val="4E1962DA"/>
    <w:rsid w:val="4EB9449D"/>
    <w:rsid w:val="4F307508"/>
    <w:rsid w:val="4F3905EC"/>
    <w:rsid w:val="50095BB4"/>
    <w:rsid w:val="50201E96"/>
    <w:rsid w:val="505D7297"/>
    <w:rsid w:val="51580955"/>
    <w:rsid w:val="54684BC5"/>
    <w:rsid w:val="562425D3"/>
    <w:rsid w:val="56FD163C"/>
    <w:rsid w:val="58906A08"/>
    <w:rsid w:val="58B568D9"/>
    <w:rsid w:val="59970DC7"/>
    <w:rsid w:val="5A001ACB"/>
    <w:rsid w:val="5AAB5E2E"/>
    <w:rsid w:val="5ACA2E91"/>
    <w:rsid w:val="5B4245F9"/>
    <w:rsid w:val="5C2435B4"/>
    <w:rsid w:val="63FD0CE4"/>
    <w:rsid w:val="64A3144C"/>
    <w:rsid w:val="653914A1"/>
    <w:rsid w:val="66BD243D"/>
    <w:rsid w:val="6B8E77D0"/>
    <w:rsid w:val="6BF561AB"/>
    <w:rsid w:val="6E706F49"/>
    <w:rsid w:val="6EB34A82"/>
    <w:rsid w:val="6F0E5A81"/>
    <w:rsid w:val="6FFA2751"/>
    <w:rsid w:val="70E1696B"/>
    <w:rsid w:val="70FD51B8"/>
    <w:rsid w:val="720D0E53"/>
    <w:rsid w:val="72930E92"/>
    <w:rsid w:val="73D41EB2"/>
    <w:rsid w:val="7408309F"/>
    <w:rsid w:val="741E2752"/>
    <w:rsid w:val="77B2413D"/>
    <w:rsid w:val="79B06D0E"/>
    <w:rsid w:val="79C011A5"/>
    <w:rsid w:val="7C2A5867"/>
    <w:rsid w:val="7D114CB4"/>
    <w:rsid w:val="7F0D7BE8"/>
    <w:rsid w:val="7F110C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nhideWhenUsed="0"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3">
    <w:name w:val="heading 1"/>
    <w:basedOn w:val="1"/>
    <w:next w:val="1"/>
    <w:qFormat/>
    <w:uiPriority w:val="1"/>
    <w:pPr>
      <w:spacing w:before="4"/>
      <w:ind w:left="231"/>
      <w:outlineLvl w:val="1"/>
    </w:pPr>
    <w:rPr>
      <w:rFonts w:ascii="仿宋" w:hAnsi="仿宋" w:eastAsia="仿宋" w:cs="仿宋"/>
      <w:b/>
      <w:bCs/>
      <w:sz w:val="28"/>
      <w:szCs w:val="28"/>
      <w:lang w:val="zh-CN" w:eastAsia="zh-CN" w:bidi="zh-CN"/>
    </w:rPr>
  </w:style>
  <w:style w:type="paragraph" w:styleId="4">
    <w:name w:val="heading 2"/>
    <w:basedOn w:val="1"/>
    <w:next w:val="1"/>
    <w:qFormat/>
    <w:uiPriority w:val="0"/>
    <w:pPr>
      <w:keepNext/>
      <w:keepLines/>
      <w:numPr>
        <w:ilvl w:val="1"/>
        <w:numId w:val="1"/>
      </w:numPr>
      <w:tabs>
        <w:tab w:val="left" w:pos="786"/>
      </w:tabs>
      <w:spacing w:before="260" w:after="260" w:line="415" w:lineRule="auto"/>
      <w:outlineLvl w:val="1"/>
    </w:pPr>
    <w:rPr>
      <w:rFonts w:ascii="Arial" w:hAnsi="Arial" w:eastAsia="黑体"/>
      <w:b/>
      <w:bCs/>
      <w:sz w:val="32"/>
      <w:szCs w:val="32"/>
    </w:rPr>
  </w:style>
  <w:style w:type="paragraph" w:styleId="5">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2">
    <w:name w:val="heading 4"/>
    <w:basedOn w:val="1"/>
    <w:next w:val="1"/>
    <w:unhideWhenUsed/>
    <w:qFormat/>
    <w:uiPriority w:val="0"/>
    <w:pPr>
      <w:keepNext/>
      <w:keepLines/>
      <w:outlineLvl w:val="3"/>
    </w:pPr>
    <w:rPr>
      <w:rFonts w:ascii="Arial" w:hAnsi="Arial"/>
      <w:b/>
    </w:rPr>
  </w:style>
  <w:style w:type="character" w:default="1" w:styleId="16">
    <w:name w:val="Default Paragraph Font"/>
    <w:semiHidden/>
    <w:qFormat/>
    <w:uiPriority w:val="0"/>
  </w:style>
  <w:style w:type="table" w:default="1" w:styleId="14">
    <w:name w:val="Normal Table"/>
    <w:semiHidden/>
    <w:qFormat/>
    <w:uiPriority w:val="0"/>
    <w:tblPr>
      <w:tblCellMar>
        <w:top w:w="0" w:type="dxa"/>
        <w:left w:w="108" w:type="dxa"/>
        <w:bottom w:w="0" w:type="dxa"/>
        <w:right w:w="108" w:type="dxa"/>
      </w:tblCellMar>
    </w:tblPr>
  </w:style>
  <w:style w:type="paragraph" w:styleId="6">
    <w:name w:val="Body Text"/>
    <w:basedOn w:val="1"/>
    <w:next w:val="7"/>
    <w:qFormat/>
    <w:uiPriority w:val="1"/>
    <w:rPr>
      <w:rFonts w:ascii="宋体" w:hAnsi="宋体" w:eastAsia="宋体" w:cs="宋体"/>
      <w:sz w:val="24"/>
      <w:szCs w:val="24"/>
      <w:lang w:val="zh-CN" w:bidi="zh-CN"/>
    </w:rPr>
  </w:style>
  <w:style w:type="paragraph" w:styleId="7">
    <w:name w:val="Body Text First Indent"/>
    <w:basedOn w:val="6"/>
    <w:next w:val="6"/>
    <w:qFormat/>
    <w:uiPriority w:val="99"/>
    <w:pPr>
      <w:ind w:firstLine="420" w:firstLineChars="100"/>
    </w:pPr>
    <w:rPr>
      <w:rFonts w:ascii="Times New Roman" w:hAnsi="Times New Roman"/>
      <w:szCs w:val="20"/>
    </w:rPr>
  </w:style>
  <w:style w:type="paragraph" w:styleId="8">
    <w:name w:val="Body Text Indent"/>
    <w:basedOn w:val="1"/>
    <w:next w:val="9"/>
    <w:qFormat/>
    <w:uiPriority w:val="99"/>
    <w:pPr>
      <w:spacing w:after="120"/>
      <w:ind w:left="420" w:leftChars="200"/>
    </w:pPr>
  </w:style>
  <w:style w:type="paragraph" w:customStyle="1" w:styleId="9">
    <w:name w:val="正文文字 6"/>
    <w:next w:val="1"/>
    <w:qFormat/>
    <w:uiPriority w:val="0"/>
    <w:pPr>
      <w:widowControl w:val="0"/>
      <w:ind w:left="240"/>
      <w:jc w:val="both"/>
    </w:pPr>
    <w:rPr>
      <w:rFonts w:ascii="宋体" w:hAnsi="Times New Roman" w:eastAsia="宋体" w:cs="Times New Roman"/>
      <w:b/>
      <w:bCs/>
      <w:kern w:val="2"/>
      <w:sz w:val="32"/>
      <w:szCs w:val="32"/>
      <w:lang w:val="en-US" w:eastAsia="zh-CN" w:bidi="ar-SA"/>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2">
    <w:name w:val="toc 1"/>
    <w:basedOn w:val="1"/>
    <w:next w:val="1"/>
    <w:qFormat/>
    <w:uiPriority w:val="39"/>
    <w:pPr>
      <w:tabs>
        <w:tab w:val="left" w:pos="540"/>
        <w:tab w:val="right" w:leader="dot" w:pos="8296"/>
      </w:tabs>
      <w:adjustRightInd w:val="0"/>
      <w:snapToGrid w:val="0"/>
      <w:spacing w:before="120" w:after="120"/>
      <w:jc w:val="left"/>
    </w:pPr>
    <w:rPr>
      <w:rFonts w:ascii="Calibri" w:hAnsi="Calibri" w:eastAsia="仿宋_GB2312" w:cs="Calibri"/>
      <w:b/>
      <w:bCs/>
      <w:caps/>
      <w:sz w:val="28"/>
      <w:szCs w:val="28"/>
    </w:rPr>
  </w:style>
  <w:style w:type="paragraph" w:styleId="13">
    <w:name w:val="Body Text First Indent 2"/>
    <w:basedOn w:val="8"/>
    <w:next w:val="7"/>
    <w:qFormat/>
    <w:uiPriority w:val="99"/>
    <w:pPr>
      <w:spacing w:after="0"/>
      <w:ind w:left="0" w:leftChars="0" w:firstLine="420" w:firstLineChars="200"/>
    </w:pPr>
    <w:rPr>
      <w:sz w:val="28"/>
    </w:rPr>
  </w:style>
  <w:style w:type="table" w:styleId="15">
    <w:name w:val="Table Grid"/>
    <w:basedOn w:val="1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7">
    <w:name w:val="WPSOffice手动目录 1"/>
    <w:qFormat/>
    <w:uiPriority w:val="0"/>
    <w:pPr>
      <w:ind w:leftChars="0"/>
    </w:pPr>
    <w:rPr>
      <w:rFonts w:ascii="Times New Roman" w:hAnsi="Times New Roman" w:eastAsia="宋体" w:cs="Times New Roman"/>
      <w:sz w:val="20"/>
      <w:szCs w:val="20"/>
    </w:rPr>
  </w:style>
  <w:style w:type="paragraph" w:customStyle="1" w:styleId="18">
    <w:name w:val="WPSOffice手动目录 2"/>
    <w:qFormat/>
    <w:uiPriority w:val="0"/>
    <w:pPr>
      <w:ind w:leftChars="200"/>
    </w:pPr>
    <w:rPr>
      <w:rFonts w:ascii="Times New Roman" w:hAnsi="Times New Roman" w:eastAsia="宋体" w:cs="Times New Roman"/>
      <w:sz w:val="20"/>
      <w:szCs w:val="20"/>
    </w:rPr>
  </w:style>
  <w:style w:type="paragraph" w:customStyle="1" w:styleId="19">
    <w:name w:val="WPSOffice手动目录 3"/>
    <w:qFormat/>
    <w:uiPriority w:val="0"/>
    <w:pPr>
      <w:ind w:leftChars="400"/>
    </w:pPr>
    <w:rPr>
      <w:rFonts w:ascii="Times New Roman" w:hAnsi="Times New Roman" w:eastAsia="宋体" w:cs="Times New Roman"/>
      <w:sz w:val="20"/>
      <w:szCs w:val="20"/>
    </w:rPr>
  </w:style>
  <w:style w:type="paragraph" w:customStyle="1" w:styleId="20">
    <w:name w:val="BodyText"/>
    <w:basedOn w:val="1"/>
    <w:next w:val="21"/>
    <w:qFormat/>
    <w:uiPriority w:val="0"/>
    <w:pPr>
      <w:widowControl/>
      <w:spacing w:after="120"/>
      <w:jc w:val="left"/>
      <w:textAlignment w:val="baseline"/>
    </w:pPr>
    <w:rPr>
      <w:rFonts w:ascii="Times New Roman" w:hAnsi="Times New Roman" w:eastAsia="宋体"/>
      <w:kern w:val="2"/>
      <w:sz w:val="21"/>
      <w:szCs w:val="24"/>
      <w:lang w:val="en-US" w:eastAsia="zh-CN" w:bidi="ar-SA"/>
    </w:rPr>
  </w:style>
  <w:style w:type="paragraph" w:customStyle="1" w:styleId="21">
    <w:name w:val="TOC1"/>
    <w:basedOn w:val="1"/>
    <w:next w:val="1"/>
    <w:qFormat/>
    <w:uiPriority w:val="0"/>
    <w:pPr>
      <w:tabs>
        <w:tab w:val="left" w:pos="540"/>
        <w:tab w:val="right" w:leader="dot" w:pos="8296"/>
      </w:tabs>
      <w:snapToGrid w:val="0"/>
      <w:spacing w:before="120" w:after="120"/>
      <w:jc w:val="left"/>
      <w:textAlignment w:val="baseline"/>
    </w:pPr>
    <w:rPr>
      <w:rFonts w:ascii="Calibri" w:hAnsi="Calibri" w:eastAsia="仿宋_GB2312" w:cs="Calibri"/>
      <w:b/>
      <w:bCs/>
      <w:caps/>
      <w:kern w:val="2"/>
      <w:sz w:val="28"/>
      <w:szCs w:val="28"/>
      <w:lang w:val="en-US" w:eastAsia="zh-CN" w:bidi="ar-SA"/>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5982</Words>
  <Characters>6397</Characters>
  <Lines>0</Lines>
  <Paragraphs>0</Paragraphs>
  <TotalTime>14</TotalTime>
  <ScaleCrop>false</ScaleCrop>
  <LinksUpToDate>false</LinksUpToDate>
  <CharactersWithSpaces>6451</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2021-05-20T06:08:00Z</dcterms:created>
  <dc:creator>z</dc:creator>
  <cp:lastModifiedBy>瞿予圣兮</cp:lastModifiedBy>
  <dcterms:modified xsi:type="dcterms:W3CDTF">2025-12-16T09:17:30Z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E57AC009F68C46FFBF8262681E09EDB0</vt:lpwstr>
  </property>
  <property fmtid="{D5CDD505-2E9C-101B-9397-08002B2CF9AE}" pid="4" name="KSOTemplateDocerSaveRecord">
    <vt:lpwstr>eyJoZGlkIjoiYmI5NTU0OWE5ODg3ZjU2MDU3MTczODYxNzEyZTc2ODMiLCJ1c2VySWQiOiI0NTI4NTE3OTAifQ==</vt:lpwstr>
  </property>
</Properties>
</file>